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37851FF"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033E8">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033E8" w:rsidRPr="00F033E8">
            <w:rPr>
              <w:rFonts w:ascii="Arial" w:hAnsi="Arial" w:cs="Arial"/>
              <w:b/>
              <w:sz w:val="24"/>
            </w:rPr>
            <w:t>R1-1812460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D648919" w:rsidR="00425159" w:rsidRPr="00425159" w:rsidRDefault="00F033E8" w:rsidP="00425159">
          <w:pPr>
            <w:spacing w:after="0"/>
            <w:ind w:left="1988" w:hanging="1988"/>
            <w:jc w:val="both"/>
            <w:rPr>
              <w:rFonts w:ascii="Arial" w:hAnsi="Arial" w:cs="Arial"/>
              <w:b/>
              <w:sz w:val="24"/>
            </w:rPr>
          </w:pPr>
          <w:r>
            <w:rPr>
              <w:rFonts w:ascii="Arial" w:hAnsi="Arial" w:cs="Arial"/>
              <w:b/>
              <w:sz w:val="24"/>
            </w:rPr>
            <w:t>Spokane</w:t>
          </w:r>
          <w:r w:rsidRPr="00E16928">
            <w:rPr>
              <w:rFonts w:ascii="Arial" w:hAnsi="Arial" w:cs="Arial"/>
              <w:b/>
              <w:sz w:val="24"/>
            </w:rPr>
            <w:t xml:space="preserve">, </w:t>
          </w:r>
          <w:r>
            <w:rPr>
              <w:rFonts w:ascii="Arial" w:hAnsi="Arial" w:cs="Arial"/>
              <w:b/>
              <w:sz w:val="24"/>
            </w:rPr>
            <w:t>USA</w:t>
          </w:r>
          <w:r w:rsidRPr="00E16928">
            <w:rPr>
              <w:rFonts w:ascii="Arial" w:hAnsi="Arial" w:cs="Arial"/>
              <w:b/>
              <w:sz w:val="24"/>
            </w:rPr>
            <w:t xml:space="preserve">, </w:t>
          </w:r>
          <w:r w:rsidR="004412C1">
            <w:rPr>
              <w:rFonts w:ascii="Arial" w:hAnsi="Arial" w:cs="Arial"/>
              <w:b/>
              <w:sz w:val="24"/>
            </w:rPr>
            <w:t>N</w:t>
          </w:r>
          <w:r>
            <w:rPr>
              <w:rFonts w:ascii="Arial" w:hAnsi="Arial" w:cs="Arial"/>
              <w:b/>
              <w:sz w:val="24"/>
            </w:rPr>
            <w:t>o</w:t>
          </w:r>
          <w:r w:rsidR="004412C1">
            <w:rPr>
              <w:rFonts w:ascii="Arial" w:hAnsi="Arial" w:cs="Arial"/>
              <w:b/>
              <w:sz w:val="24"/>
            </w:rPr>
            <w:t>vem</w:t>
          </w:r>
          <w:r>
            <w:rPr>
              <w:rFonts w:ascii="Arial" w:hAnsi="Arial" w:cs="Arial"/>
              <w:b/>
              <w:sz w:val="24"/>
            </w:rPr>
            <w:t>ber</w:t>
          </w:r>
          <w:r w:rsidRPr="00E16928">
            <w:rPr>
              <w:rFonts w:ascii="Arial" w:hAnsi="Arial" w:cs="Arial"/>
              <w:b/>
              <w:sz w:val="24"/>
            </w:rPr>
            <w:t xml:space="preserve"> </w:t>
          </w:r>
          <w:r w:rsidR="004412C1">
            <w:rPr>
              <w:rFonts w:ascii="Arial" w:hAnsi="Arial" w:cs="Arial"/>
              <w:b/>
              <w:sz w:val="24"/>
            </w:rPr>
            <w:t>12</w:t>
          </w:r>
          <w:r w:rsidRPr="00E16928">
            <w:rPr>
              <w:rFonts w:ascii="Arial" w:hAnsi="Arial" w:cs="Arial"/>
              <w:b/>
              <w:sz w:val="24"/>
            </w:rPr>
            <w:t xml:space="preserve">th – </w:t>
          </w:r>
          <w:r>
            <w:rPr>
              <w:rFonts w:ascii="Arial" w:hAnsi="Arial" w:cs="Arial"/>
              <w:b/>
              <w:sz w:val="24"/>
            </w:rPr>
            <w:t>1</w:t>
          </w:r>
          <w:r w:rsidR="004412C1">
            <w:rPr>
              <w:rFonts w:ascii="Arial" w:hAnsi="Arial" w:cs="Arial"/>
              <w:b/>
              <w:sz w:val="24"/>
            </w:rPr>
            <w:t>6</w:t>
          </w:r>
          <w:r w:rsidRPr="00E16928">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441EB827"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4248C0B6" w:rsidR="00EC77F9" w:rsidRDefault="00EC77F9" w:rsidP="00366D26">
      <w:pPr>
        <w:pStyle w:val="TdocText"/>
      </w:pPr>
      <w:r>
        <w:t>In the previous RAN1#94</w:t>
      </w:r>
      <w:r w:rsidR="00AC0816">
        <w:t>bis</w:t>
      </w:r>
      <w:r>
        <w:t xml:space="preserve"> 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5B0B95">
        <w:t>[2]</w:t>
      </w:r>
      <w:r w:rsidR="00BF183C">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76D23E50" w14:textId="77777777" w:rsidR="00AC0816" w:rsidRPr="008C3B15" w:rsidRDefault="00AC0816" w:rsidP="008C3B15">
            <w:pPr>
              <w:rPr>
                <w:b/>
                <w:highlight w:val="green"/>
              </w:rPr>
            </w:pPr>
            <w:r w:rsidRPr="008C3B15">
              <w:rPr>
                <w:b/>
                <w:highlight w:val="green"/>
              </w:rPr>
              <w:t xml:space="preserve">Agreement </w:t>
            </w:r>
          </w:p>
          <w:p w14:paraId="7AAD6A3C" w14:textId="77777777" w:rsidR="00AC0816" w:rsidRPr="008C3B15" w:rsidRDefault="00AC0816" w:rsidP="00AC0816">
            <w:pPr>
              <w:pStyle w:val="Proposal"/>
              <w:rPr>
                <w:rFonts w:ascii="Times New Roman" w:hAnsi="Times New Roman"/>
                <w:i w:val="0"/>
                <w:sz w:val="20"/>
                <w:szCs w:val="20"/>
              </w:rPr>
            </w:pPr>
            <w:r w:rsidRPr="008C3B15">
              <w:rPr>
                <w:rFonts w:ascii="Times New Roman" w:hAnsi="Times New Roman"/>
                <w:i w:val="0"/>
                <w:sz w:val="20"/>
                <w:szCs w:val="20"/>
              </w:rPr>
              <w:t xml:space="preserve">UE-group NWUS is supported based on </w:t>
            </w:r>
            <w:proofErr w:type="spellStart"/>
            <w:r w:rsidRPr="008C3B15">
              <w:rPr>
                <w:rFonts w:ascii="Times New Roman" w:hAnsi="Times New Roman"/>
                <w:i w:val="0"/>
                <w:sz w:val="20"/>
                <w:szCs w:val="20"/>
              </w:rPr>
              <w:t>eNB’s</w:t>
            </w:r>
            <w:proofErr w:type="spellEnd"/>
            <w:r w:rsidRPr="008C3B15">
              <w:rPr>
                <w:rFonts w:ascii="Times New Roman" w:hAnsi="Times New Roman"/>
                <w:i w:val="0"/>
                <w:sz w:val="20"/>
                <w:szCs w:val="20"/>
              </w:rPr>
              <w:t xml:space="preserve"> and UE’s capability.</w:t>
            </w:r>
          </w:p>
          <w:p w14:paraId="69D184A4" w14:textId="77777777" w:rsidR="00AC0816" w:rsidRPr="008C3B15" w:rsidRDefault="00AC0816" w:rsidP="00AC0816">
            <w:pPr>
              <w:pStyle w:val="Proposal"/>
              <w:rPr>
                <w:rFonts w:ascii="Times New Roman" w:eastAsia="Malgun Gothic" w:hAnsi="Times New Roman"/>
                <w:i w:val="0"/>
                <w:sz w:val="20"/>
                <w:szCs w:val="20"/>
              </w:rPr>
            </w:pPr>
            <w:bookmarkStart w:id="0" w:name="_Toc526830123"/>
            <w:r w:rsidRPr="008C3B15">
              <w:rPr>
                <w:rFonts w:ascii="Times New Roman" w:eastAsia="Malgun Gothic" w:hAnsi="Times New Roman"/>
                <w:i w:val="0"/>
                <w:sz w:val="20"/>
                <w:szCs w:val="20"/>
              </w:rPr>
              <w:t>Whether the network supports UE-group NWUS is done by higher layer signaling.</w:t>
            </w:r>
            <w:bookmarkEnd w:id="0"/>
          </w:p>
          <w:p w14:paraId="25DA89BB" w14:textId="77777777" w:rsidR="00AC0816" w:rsidRPr="008C3B15" w:rsidRDefault="00AC0816" w:rsidP="00AC0816">
            <w:pPr>
              <w:pStyle w:val="Proposal"/>
              <w:rPr>
                <w:rFonts w:ascii="Times New Roman" w:eastAsia="Malgun Gothic" w:hAnsi="Times New Roman"/>
                <w:i w:val="0"/>
                <w:sz w:val="20"/>
                <w:szCs w:val="20"/>
              </w:rPr>
            </w:pPr>
            <w:bookmarkStart w:id="1" w:name="_Toc526830124"/>
            <w:r w:rsidRPr="008C3B15">
              <w:rPr>
                <w:rFonts w:ascii="Times New Roman" w:eastAsia="Malgun Gothic" w:hAnsi="Times New Roman"/>
                <w:i w:val="0"/>
                <w:sz w:val="20"/>
                <w:szCs w:val="20"/>
              </w:rPr>
              <w:t>FFS: The number of UE groups is configured by SIB.</w:t>
            </w:r>
            <w:bookmarkEnd w:id="1"/>
          </w:p>
          <w:p w14:paraId="4BE291F7" w14:textId="77777777" w:rsidR="00AC0816" w:rsidRPr="008C3B15" w:rsidRDefault="00AC0816" w:rsidP="00AC0816">
            <w:pPr>
              <w:rPr>
                <w:rFonts w:eastAsia="Batang"/>
                <w:lang w:eastAsia="x-none"/>
              </w:rPr>
            </w:pPr>
            <w:bookmarkStart w:id="2" w:name="_Toc526830125"/>
            <w:r w:rsidRPr="008C3B15">
              <w:rPr>
                <w:rFonts w:eastAsia="Malgun Gothic"/>
              </w:rPr>
              <w:t>Note that the UE-group NWUS is UE optional</w:t>
            </w:r>
            <w:bookmarkEnd w:id="2"/>
          </w:p>
          <w:p w14:paraId="6D1E47C7" w14:textId="77777777" w:rsidR="00AC0816" w:rsidRPr="008C3B15" w:rsidRDefault="00AC0816" w:rsidP="008C3B15">
            <w:pPr>
              <w:rPr>
                <w:b/>
                <w:highlight w:val="green"/>
              </w:rPr>
            </w:pPr>
            <w:bookmarkStart w:id="3" w:name="_Toc526830132"/>
            <w:bookmarkStart w:id="4" w:name="_Ref526497265"/>
            <w:r w:rsidRPr="008C3B15">
              <w:rPr>
                <w:b/>
                <w:highlight w:val="green"/>
              </w:rPr>
              <w:t>Agreement</w:t>
            </w:r>
          </w:p>
          <w:p w14:paraId="3DB48093" w14:textId="77777777" w:rsidR="00AC0816" w:rsidRPr="008C3B15" w:rsidRDefault="00AC0816" w:rsidP="00AC0816">
            <w:pPr>
              <w:pStyle w:val="Proposal"/>
              <w:ind w:left="596" w:firstLine="0"/>
              <w:rPr>
                <w:rFonts w:ascii="Times New Roman" w:hAnsi="Times New Roman"/>
                <w:i w:val="0"/>
                <w:sz w:val="20"/>
                <w:szCs w:val="20"/>
              </w:rPr>
            </w:pPr>
            <w:r w:rsidRPr="008C3B15">
              <w:rPr>
                <w:rFonts w:ascii="Times New Roman" w:hAnsi="Times New Roman"/>
                <w:i w:val="0"/>
                <w:sz w:val="20"/>
                <w:szCs w:val="20"/>
              </w:rPr>
              <w:t>From a RAN1, perspective, UE grouping is based on at least UE ID or some function of UE ID.</w:t>
            </w:r>
            <w:bookmarkEnd w:id="3"/>
            <w:bookmarkEnd w:id="4"/>
          </w:p>
          <w:p w14:paraId="57832EAA" w14:textId="77777777" w:rsidR="00AC0816" w:rsidRPr="008C3B15" w:rsidRDefault="00AC0816" w:rsidP="00AC0816">
            <w:pPr>
              <w:rPr>
                <w:b/>
                <w:highlight w:val="green"/>
              </w:rPr>
            </w:pPr>
            <w:r w:rsidRPr="008C3B15">
              <w:rPr>
                <w:b/>
                <w:highlight w:val="green"/>
              </w:rPr>
              <w:t xml:space="preserve">Agreement </w:t>
            </w:r>
          </w:p>
          <w:p w14:paraId="5EA202B4" w14:textId="77777777" w:rsidR="00AC0816" w:rsidRPr="008C3B15" w:rsidRDefault="00AC0816" w:rsidP="00AC0816">
            <w:pPr>
              <w:rPr>
                <w:lang w:eastAsia="x-none"/>
              </w:rPr>
            </w:pPr>
            <w:r w:rsidRPr="008C3B15">
              <w:rPr>
                <w:lang w:eastAsia="x-none"/>
              </w:rPr>
              <w:t>The legacy UE should not be prevented from using legacy WUS even in the case of Rel-16 group WUS is enabled</w:t>
            </w:r>
          </w:p>
          <w:p w14:paraId="084E9028" w14:textId="77777777" w:rsidR="00AC0816" w:rsidRPr="008C3B15" w:rsidRDefault="00AC0816" w:rsidP="00AC0816">
            <w:pPr>
              <w:numPr>
                <w:ilvl w:val="0"/>
                <w:numId w:val="11"/>
              </w:numPr>
              <w:overflowPunct/>
              <w:autoSpaceDE/>
              <w:autoSpaceDN/>
              <w:adjustRightInd/>
              <w:spacing w:after="0"/>
              <w:ind w:left="880"/>
              <w:textAlignment w:val="auto"/>
              <w:rPr>
                <w:lang w:eastAsia="x-none"/>
              </w:rPr>
            </w:pPr>
            <w:r w:rsidRPr="008C3B15">
              <w:rPr>
                <w:lang w:eastAsia="x-none"/>
              </w:rPr>
              <w:t>Performance impact on legacy WUS should be carefully considered</w:t>
            </w:r>
          </w:p>
          <w:p w14:paraId="2C8520EF" w14:textId="77777777" w:rsidR="00AC0816" w:rsidRPr="008C3B15" w:rsidRDefault="00AC0816" w:rsidP="00AC0816">
            <w:pPr>
              <w:rPr>
                <w:b/>
                <w:highlight w:val="green"/>
              </w:rPr>
            </w:pPr>
            <w:r w:rsidRPr="008C3B15">
              <w:rPr>
                <w:b/>
                <w:highlight w:val="green"/>
              </w:rPr>
              <w:t>Agreement</w:t>
            </w:r>
          </w:p>
          <w:p w14:paraId="0A4D4DAA" w14:textId="77777777" w:rsidR="00AC0816" w:rsidRPr="008C3B15" w:rsidRDefault="00AC0816" w:rsidP="00AC0816">
            <w:r w:rsidRPr="008C3B15">
              <w:t>Group WUS is based on at least legacy WUS and UE-group ID.</w:t>
            </w:r>
          </w:p>
          <w:p w14:paraId="3E7A39FA" w14:textId="77777777" w:rsidR="00AC0816" w:rsidRPr="008C3B15" w:rsidRDefault="00AC0816" w:rsidP="00AC0816">
            <w:pPr>
              <w:rPr>
                <w:b/>
                <w:highlight w:val="green"/>
              </w:rPr>
            </w:pPr>
            <w:r w:rsidRPr="008C3B15">
              <w:rPr>
                <w:b/>
                <w:highlight w:val="green"/>
              </w:rPr>
              <w:t>Agreement</w:t>
            </w:r>
          </w:p>
          <w:p w14:paraId="720F0907" w14:textId="77777777" w:rsidR="00AC0816" w:rsidRPr="008C3B15" w:rsidRDefault="00AC0816" w:rsidP="00AC0816">
            <w:r w:rsidRPr="008C3B15">
              <w:t>Configuration of group WUS is at least signaled in SI</w:t>
            </w:r>
          </w:p>
          <w:p w14:paraId="634560B8" w14:textId="77777777" w:rsidR="00AC0816" w:rsidRPr="008C3B15" w:rsidRDefault="00AC0816" w:rsidP="00AC0816">
            <w:pPr>
              <w:rPr>
                <w:b/>
                <w:highlight w:val="green"/>
              </w:rPr>
            </w:pPr>
            <w:r w:rsidRPr="008C3B15">
              <w:rPr>
                <w:b/>
                <w:highlight w:val="green"/>
              </w:rPr>
              <w:t>Agreement</w:t>
            </w:r>
          </w:p>
          <w:p w14:paraId="779C58E5" w14:textId="77777777" w:rsidR="00AC0816" w:rsidRPr="008C3B15" w:rsidRDefault="00AC0816" w:rsidP="00AC0816">
            <w:pPr>
              <w:rPr>
                <w:lang w:eastAsia="x-none"/>
              </w:rPr>
            </w:pPr>
            <w:r w:rsidRPr="008C3B15">
              <w:t>A Rel-16 group WUS capable UE shall also be capable of Rel-15 legacy WUS</w:t>
            </w:r>
          </w:p>
          <w:p w14:paraId="7C906187" w14:textId="77777777" w:rsidR="00AC0816" w:rsidRPr="008C3B15" w:rsidRDefault="00AC0816" w:rsidP="00AC0816">
            <w:pPr>
              <w:rPr>
                <w:b/>
                <w:highlight w:val="green"/>
              </w:rPr>
            </w:pPr>
            <w:bookmarkStart w:id="5" w:name="_Toc526916206"/>
            <w:r w:rsidRPr="008C3B15">
              <w:rPr>
                <w:b/>
                <w:highlight w:val="green"/>
              </w:rPr>
              <w:t>Agreement</w:t>
            </w:r>
          </w:p>
          <w:p w14:paraId="49FA63F0" w14:textId="77777777" w:rsidR="00AC0816" w:rsidRPr="008C3B15" w:rsidRDefault="00AC0816" w:rsidP="00AC0816">
            <w:r w:rsidRPr="008C3B15">
              <w:t>Rel-16 UE-groups WUS with same DRX/eDRX gap configuration are multiplexed with TDM and/or single sequence CDM</w:t>
            </w:r>
            <w:bookmarkEnd w:id="5"/>
          </w:p>
          <w:p w14:paraId="25D8DD9C" w14:textId="77777777" w:rsidR="00AC0816" w:rsidRPr="008C3B15" w:rsidRDefault="00AC0816" w:rsidP="00AC0816">
            <w:pPr>
              <w:numPr>
                <w:ilvl w:val="0"/>
                <w:numId w:val="11"/>
              </w:numPr>
              <w:overflowPunct/>
              <w:autoSpaceDE/>
              <w:autoSpaceDN/>
              <w:adjustRightInd/>
              <w:spacing w:after="0"/>
              <w:ind w:left="1440"/>
              <w:textAlignment w:val="auto"/>
              <w:rPr>
                <w:lang w:eastAsia="x-none"/>
              </w:rPr>
            </w:pPr>
            <w:r w:rsidRPr="008C3B15">
              <w:rPr>
                <w:lang w:eastAsia="x-none"/>
              </w:rPr>
              <w:t>FFS: Whether single sequence CDM can include legacy WUS</w:t>
            </w:r>
          </w:p>
          <w:p w14:paraId="0BBA60F9" w14:textId="77777777" w:rsidR="00AC0816" w:rsidRPr="008C3B15" w:rsidRDefault="00AC0816" w:rsidP="00AC0816">
            <w:pPr>
              <w:numPr>
                <w:ilvl w:val="0"/>
                <w:numId w:val="11"/>
              </w:numPr>
              <w:overflowPunct/>
              <w:autoSpaceDE/>
              <w:autoSpaceDN/>
              <w:adjustRightInd/>
              <w:spacing w:after="0"/>
              <w:ind w:left="1440"/>
              <w:textAlignment w:val="auto"/>
              <w:rPr>
                <w:lang w:eastAsia="x-none"/>
              </w:rPr>
            </w:pPr>
            <w:r w:rsidRPr="008C3B15">
              <w:rPr>
                <w:lang w:eastAsia="x-none"/>
              </w:rPr>
              <w:lastRenderedPageBreak/>
              <w:t>FFS: Multiplexing between Rel-15 and Rel-16 UE groups</w:t>
            </w:r>
          </w:p>
          <w:p w14:paraId="2EF4883E" w14:textId="574375A3" w:rsidR="0042085B" w:rsidRPr="008C3B15" w:rsidRDefault="00AC0816" w:rsidP="00E77B21">
            <w:pPr>
              <w:pStyle w:val="Caption"/>
              <w:numPr>
                <w:ilvl w:val="0"/>
                <w:numId w:val="9"/>
              </w:numPr>
              <w:overflowPunct/>
              <w:autoSpaceDE/>
              <w:autoSpaceDN/>
              <w:adjustRightInd/>
              <w:spacing w:before="0" w:after="0"/>
              <w:textAlignment w:val="auto"/>
              <w:rPr>
                <w:b w:val="0"/>
                <w:lang w:eastAsia="zh-CN"/>
              </w:rPr>
            </w:pPr>
            <w:r w:rsidRPr="008C3B15">
              <w:rPr>
                <w:b w:val="0"/>
                <w:lang w:eastAsia="x-none"/>
              </w:rPr>
              <w:t>Note: Single sequence CDM is where different sequences share the same resource and only one sequence is transmitted at a given time</w:t>
            </w:r>
          </w:p>
        </w:tc>
      </w:tr>
    </w:tbl>
    <w:p w14:paraId="6C4431CA" w14:textId="77777777" w:rsidR="00B93D9A" w:rsidRDefault="00C759EF" w:rsidP="00366D26">
      <w:pPr>
        <w:pStyle w:val="TdocText"/>
      </w:pPr>
      <w:r>
        <w:rPr>
          <w:lang w:eastAsia="zh-CN"/>
        </w:rPr>
        <w:lastRenderedPageBreak/>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0A139762" w14:textId="5204E2BA" w:rsidR="00867642" w:rsidRPr="006969BE" w:rsidRDefault="00451815" w:rsidP="00867642">
      <w:pPr>
        <w:pStyle w:val="Heading1"/>
        <w:numPr>
          <w:ilvl w:val="0"/>
          <w:numId w:val="2"/>
        </w:numPr>
        <w:ind w:left="360"/>
        <w:rPr>
          <w:rFonts w:cs="Arial"/>
          <w:sz w:val="32"/>
          <w:szCs w:val="32"/>
          <w:lang w:val="en-US"/>
        </w:rPr>
      </w:pPr>
      <w:r>
        <w:rPr>
          <w:rFonts w:cs="Arial"/>
          <w:sz w:val="32"/>
          <w:szCs w:val="32"/>
          <w:lang w:val="en-US"/>
        </w:rPr>
        <w:t xml:space="preserve">Configuration </w:t>
      </w:r>
      <w:r w:rsidR="00C61275">
        <w:rPr>
          <w:rFonts w:cs="Arial"/>
          <w:sz w:val="32"/>
          <w:szCs w:val="32"/>
          <w:lang w:val="en-US"/>
        </w:rPr>
        <w:t>C</w:t>
      </w:r>
      <w:r w:rsidR="00867642">
        <w:rPr>
          <w:rFonts w:cs="Arial"/>
          <w:sz w:val="32"/>
          <w:szCs w:val="32"/>
          <w:lang w:val="en-US"/>
        </w:rPr>
        <w:t>onsiderations</w:t>
      </w:r>
    </w:p>
    <w:p w14:paraId="0AD842A5" w14:textId="25A536F2" w:rsidR="00E77B21" w:rsidRDefault="00E77B21" w:rsidP="00411133">
      <w:pPr>
        <w:pStyle w:val="TdocText"/>
        <w:rPr>
          <w:lang w:eastAsia="zh-CN"/>
        </w:rPr>
      </w:pPr>
      <w:r>
        <w:rPr>
          <w:lang w:eastAsia="zh-CN"/>
        </w:rPr>
        <w:t>In this section, we would like to repeat our considerations on UE group indication for eMTC expressed in</w:t>
      </w:r>
      <w:r w:rsidR="002645CF">
        <w:rPr>
          <w:lang w:eastAsia="zh-CN"/>
        </w:rPr>
        <w:t xml:space="preserve"> </w:t>
      </w:r>
      <w:r w:rsidR="00AB5528">
        <w:rPr>
          <w:lang w:eastAsia="zh-CN"/>
        </w:rPr>
        <w:fldChar w:fldCharType="begin"/>
      </w:r>
      <w:r w:rsidR="00AB5528">
        <w:rPr>
          <w:lang w:eastAsia="zh-CN"/>
        </w:rPr>
        <w:instrText xml:space="preserve"> REF _Ref525574487 \r \h </w:instrText>
      </w:r>
      <w:r w:rsidR="00AB5528">
        <w:rPr>
          <w:lang w:eastAsia="zh-CN"/>
        </w:rPr>
      </w:r>
      <w:r w:rsidR="00AB5528">
        <w:rPr>
          <w:lang w:eastAsia="zh-CN"/>
        </w:rPr>
        <w:fldChar w:fldCharType="separate"/>
      </w:r>
      <w:r w:rsidR="00AB5528">
        <w:rPr>
          <w:lang w:eastAsia="zh-CN"/>
        </w:rPr>
        <w:t>[3]</w:t>
      </w:r>
      <w:r w:rsidR="00AB5528">
        <w:rPr>
          <w:lang w:eastAsia="zh-CN"/>
        </w:rPr>
        <w:fldChar w:fldCharType="end"/>
      </w:r>
      <w:r>
        <w:rPr>
          <w:lang w:eastAsia="zh-CN"/>
        </w:rPr>
        <w:t xml:space="preserve">. </w:t>
      </w:r>
      <w:r w:rsidR="006B42F9">
        <w:t xml:space="preserve">The actual number of groups used by a cell is considered as an important part of </w:t>
      </w:r>
      <w:r w:rsidR="00AA211E">
        <w:t xml:space="preserve">UE-group WUS </w:t>
      </w:r>
      <w:r w:rsidR="006B42F9">
        <w:t xml:space="preserve">configuration. By configuring the supported number of UE groups less than the </w:t>
      </w:r>
      <w:r w:rsidR="006B42F9" w:rsidRPr="00366D26">
        <w:t>max number of groups</w:t>
      </w:r>
      <w:r w:rsidR="006B42F9">
        <w:t>, predefined in the specification, the cell can preserve some resources for future data/control transmission</w:t>
      </w:r>
      <w:r>
        <w:rPr>
          <w:lang w:eastAsia="zh-CN"/>
        </w:rPr>
        <w:t xml:space="preserve">. Also it seems reasonable to support some common indication of WUS for all groups. This kind of common WUS can be used for </w:t>
      </w:r>
      <w:r w:rsidRPr="0092761D">
        <w:rPr>
          <w:lang w:eastAsia="zh-CN"/>
        </w:rPr>
        <w:t>SI updates and direct indication information</w:t>
      </w:r>
      <w:r>
        <w:rPr>
          <w:lang w:eastAsia="zh-CN"/>
        </w:rPr>
        <w:t>.</w:t>
      </w:r>
    </w:p>
    <w:p w14:paraId="52984336" w14:textId="0624A24A" w:rsidR="0024138E" w:rsidRDefault="00537993" w:rsidP="00411133">
      <w:pPr>
        <w:pStyle w:val="TdocText"/>
        <w:rPr>
          <w:lang w:eastAsia="zh-CN"/>
        </w:rPr>
      </w:pPr>
      <w:r>
        <w:t>C</w:t>
      </w:r>
      <w:r w:rsidRPr="00366D26">
        <w:t xml:space="preserve">onsidering the tradeoff between the UE </w:t>
      </w:r>
      <w:proofErr w:type="gramStart"/>
      <w:r w:rsidRPr="00366D26">
        <w:t>power</w:t>
      </w:r>
      <w:proofErr w:type="gramEnd"/>
      <w:r w:rsidRPr="00366D26">
        <w:t xml:space="preserve"> saving and the WUS multiplexing capability</w:t>
      </w:r>
      <w:r>
        <w:t>, t</w:t>
      </w:r>
      <w:r w:rsidRPr="00366D26">
        <w:t xml:space="preserve">he max number of UE groups is limited and equal to </w:t>
      </w:r>
      <w:r w:rsidR="0024138E">
        <w:t>4: one for legacy Rel-15 UEs and three groups for Rel-16 UEs where one of the three is the common UE group.</w:t>
      </w:r>
    </w:p>
    <w:p w14:paraId="25817162" w14:textId="77777777" w:rsidR="00E77B21" w:rsidRDefault="00E77B21" w:rsidP="00411133">
      <w:pPr>
        <w:rPr>
          <w:lang w:eastAsia="zh-CN"/>
        </w:rPr>
      </w:pPr>
    </w:p>
    <w:p w14:paraId="0FBF7789" w14:textId="77777777" w:rsidR="00E75616" w:rsidRDefault="00E75616" w:rsidP="00E75616">
      <w:pPr>
        <w:pStyle w:val="TdocProposal"/>
      </w:pPr>
      <w:r>
        <w:t>Proposal 1</w:t>
      </w:r>
      <w:r w:rsidRPr="00A57355">
        <w:t>:</w:t>
      </w:r>
    </w:p>
    <w:p w14:paraId="3F5979FE" w14:textId="77777777" w:rsidR="00E75616" w:rsidRPr="00222C2A" w:rsidRDefault="00E75616" w:rsidP="00E75616">
      <w:pPr>
        <w:pStyle w:val="TdocProposalText"/>
      </w:pPr>
      <w:r>
        <w:t>The actual number of UE groups in a cell is configured via SI.</w:t>
      </w:r>
    </w:p>
    <w:p w14:paraId="66A9DA17" w14:textId="77777777" w:rsidR="00E75616" w:rsidRDefault="00E75616" w:rsidP="00E75616">
      <w:pPr>
        <w:pStyle w:val="TdocProposalText"/>
      </w:pPr>
      <w:r w:rsidRPr="00E42140">
        <w:t>A common WUS indication for all UE groups is supported</w:t>
      </w:r>
      <w:r>
        <w:t xml:space="preserve"> in Rel-16</w:t>
      </w:r>
      <w:r w:rsidRPr="00E42140">
        <w:t>.</w:t>
      </w:r>
    </w:p>
    <w:p w14:paraId="1D2095E0" w14:textId="71BB4194" w:rsidR="00E75616" w:rsidRPr="00E42140" w:rsidRDefault="00E75616" w:rsidP="00E75616">
      <w:pPr>
        <w:pStyle w:val="TdocProposalText"/>
      </w:pPr>
      <w:r w:rsidRPr="00E42140">
        <w:t xml:space="preserve">Max number of UE groups is </w:t>
      </w:r>
      <w:r>
        <w:t>4</w:t>
      </w:r>
      <w:r w:rsidRPr="00E42140">
        <w:t>.</w:t>
      </w:r>
    </w:p>
    <w:p w14:paraId="73541AE7" w14:textId="77777777" w:rsidR="00867642" w:rsidRDefault="00867642" w:rsidP="00867642">
      <w:pPr>
        <w:rPr>
          <w:lang w:eastAsia="zh-CN"/>
        </w:rPr>
      </w:pPr>
    </w:p>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1BDC0749" w14:textId="69F574D6" w:rsidR="00095F47" w:rsidRPr="005B032F" w:rsidRDefault="00095F47" w:rsidP="005B032F">
      <w:pPr>
        <w:pStyle w:val="TdocText"/>
      </w:pPr>
      <w:r w:rsidRPr="00095F47">
        <w:t>The multiplexing concept described in this section i</w:t>
      </w:r>
      <w:r w:rsidRPr="005B032F">
        <w:t xml:space="preserve">s illustrated in </w:t>
      </w:r>
      <w:r w:rsidR="00642620">
        <w:fldChar w:fldCharType="begin"/>
      </w:r>
      <w:r w:rsidR="00642620">
        <w:instrText xml:space="preserve"> REF _Ref525575368 \h </w:instrText>
      </w:r>
      <w:r w:rsidR="00642620">
        <w:fldChar w:fldCharType="separate"/>
      </w:r>
      <w:r w:rsidR="00642620" w:rsidRPr="005B032F">
        <w:t>Figure 1</w:t>
      </w:r>
      <w:r w:rsidR="00642620">
        <w:fldChar w:fldCharType="end"/>
      </w:r>
      <w:r w:rsidRPr="005B032F">
        <w:fldChar w:fldCharType="begin"/>
      </w:r>
      <w:r w:rsidRPr="005B032F">
        <w:instrText xml:space="preserve"> REF _Ref525554229 \h </w:instrText>
      </w:r>
      <w:r>
        <w:instrText xml:space="preserve"> \* MERGEFORMAT </w:instrText>
      </w:r>
      <w:r w:rsidRPr="005B032F">
        <w:fldChar w:fldCharType="end"/>
      </w:r>
      <w:r w:rsidRPr="005B032F">
        <w:t>.</w:t>
      </w:r>
    </w:p>
    <w:p w14:paraId="6310434D" w14:textId="08902B62" w:rsidR="00095F47" w:rsidRDefault="008F6D6D" w:rsidP="005B032F">
      <w:pPr>
        <w:pStyle w:val="TdocFigure"/>
      </w:pPr>
      <w:r>
        <w:object w:dxaOrig="17478" w:dyaOrig="1896" w14:anchorId="5EEEB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54pt" o:ole="">
            <v:imagedata r:id="rId12" o:title=""/>
          </v:shape>
          <o:OLEObject Type="Embed" ProgID="Visio.Drawing.15" ShapeID="_x0000_i1025" DrawAspect="Content" ObjectID="_1602704754" r:id="rId13"/>
        </w:object>
      </w:r>
    </w:p>
    <w:p w14:paraId="01F2BB44" w14:textId="77777777" w:rsidR="00095F47" w:rsidRPr="005B032F" w:rsidRDefault="00095F47" w:rsidP="005B032F">
      <w:pPr>
        <w:pStyle w:val="TdocFigureCaption"/>
      </w:pPr>
      <w:bookmarkStart w:id="6" w:name="_Ref525575368"/>
      <w:r w:rsidRPr="005B032F">
        <w:t xml:space="preserve">Figure </w:t>
      </w:r>
      <w:r w:rsidR="00851244">
        <w:fldChar w:fldCharType="begin"/>
      </w:r>
      <w:r w:rsidR="00851244">
        <w:instrText xml:space="preserve"> SEQ Figure \* ARABIC </w:instrText>
      </w:r>
      <w:r w:rsidR="00851244">
        <w:fldChar w:fldCharType="separate"/>
      </w:r>
      <w:r w:rsidRPr="005B032F">
        <w:t>1</w:t>
      </w:r>
      <w:r w:rsidR="00851244">
        <w:fldChar w:fldCharType="end"/>
      </w:r>
      <w:bookmarkEnd w:id="6"/>
      <w:r w:rsidRPr="005B032F">
        <w:t>. Multiplexing Rel-16 WUSes with each other and with the legacy Rel-15 WUS.</w:t>
      </w:r>
    </w:p>
    <w:p w14:paraId="534305A9" w14:textId="122E932F" w:rsidR="007830AA" w:rsidRDefault="00A7793B" w:rsidP="008C3B15">
      <w:pPr>
        <w:pStyle w:val="TdocText"/>
      </w:pPr>
      <w:r>
        <w:rPr>
          <w:lang w:eastAsia="zh-CN"/>
        </w:rPr>
        <w:t xml:space="preserve">In NB-IoT, the carrier bandwidth is equal to only one PRB. </w:t>
      </w:r>
      <w:r w:rsidR="00680DB5">
        <w:rPr>
          <w:lang w:eastAsia="zh-CN"/>
        </w:rPr>
        <w:t>Therefore</w:t>
      </w:r>
      <w:r>
        <w:rPr>
          <w:lang w:eastAsia="zh-CN"/>
        </w:rPr>
        <w:t xml:space="preserve">, the TDM is a viable solution for </w:t>
      </w:r>
      <w:r w:rsidR="00B82E90">
        <w:rPr>
          <w:lang w:eastAsia="zh-CN"/>
        </w:rPr>
        <w:t xml:space="preserve">multiplexing </w:t>
      </w:r>
      <w:r>
        <w:rPr>
          <w:lang w:eastAsia="zh-CN"/>
        </w:rPr>
        <w:t>UE-group WUS</w:t>
      </w:r>
      <w:r w:rsidR="00B82E90">
        <w:rPr>
          <w:lang w:eastAsia="zh-CN"/>
        </w:rPr>
        <w:t>es in Rel-16</w:t>
      </w:r>
      <w:r>
        <w:rPr>
          <w:lang w:eastAsia="zh-CN"/>
        </w:rPr>
        <w:t xml:space="preserve">. </w:t>
      </w:r>
      <w:r w:rsidR="00A34334">
        <w:rPr>
          <w:lang w:eastAsia="zh-CN"/>
        </w:rPr>
        <w:t>However</w:t>
      </w:r>
      <w:r w:rsidR="004163B3" w:rsidRPr="004163B3">
        <w:rPr>
          <w:szCs w:val="22"/>
          <w:lang w:eastAsia="zh-CN"/>
        </w:rPr>
        <w:t xml:space="preserve"> </w:t>
      </w:r>
      <w:r w:rsidR="004163B3" w:rsidRPr="00836E32">
        <w:rPr>
          <w:szCs w:val="22"/>
          <w:lang w:eastAsia="zh-CN"/>
        </w:rPr>
        <w:t xml:space="preserve">with </w:t>
      </w:r>
      <w:r w:rsidR="004163B3">
        <w:rPr>
          <w:szCs w:val="22"/>
          <w:lang w:eastAsia="zh-CN"/>
        </w:rPr>
        <w:t>TDM</w:t>
      </w:r>
      <w:r w:rsidR="00A34334">
        <w:rPr>
          <w:lang w:eastAsia="zh-CN"/>
        </w:rPr>
        <w:t xml:space="preserve">, </w:t>
      </w:r>
      <w:r w:rsidR="004163B3" w:rsidRPr="00836E32">
        <w:rPr>
          <w:szCs w:val="22"/>
          <w:lang w:eastAsia="zh-CN"/>
        </w:rPr>
        <w:t xml:space="preserve">the gap between the WUS and the start of </w:t>
      </w:r>
      <w:r w:rsidR="004163B3">
        <w:rPr>
          <w:szCs w:val="22"/>
          <w:lang w:eastAsia="zh-CN"/>
        </w:rPr>
        <w:t xml:space="preserve">the </w:t>
      </w:r>
      <w:r w:rsidR="004163B3" w:rsidRPr="00836E32">
        <w:rPr>
          <w:szCs w:val="22"/>
          <w:lang w:eastAsia="zh-CN"/>
        </w:rPr>
        <w:t>associated PO may be quite large, especially when the configured maximum WUS duration is large. This may impact the UE power saving gain</w:t>
      </w:r>
      <w:r w:rsidR="004163B3">
        <w:rPr>
          <w:szCs w:val="22"/>
          <w:lang w:eastAsia="zh-CN"/>
        </w:rPr>
        <w:t xml:space="preserve"> and cause </w:t>
      </w:r>
      <w:r w:rsidR="004163B3">
        <w:t xml:space="preserve">overlapping between WUSes corresponding to different POs. In this case, it’s seemed reasonable to limit </w:t>
      </w:r>
      <w:r w:rsidR="00A34334">
        <w:rPr>
          <w:lang w:eastAsia="zh-CN"/>
        </w:rPr>
        <w:t xml:space="preserve">the TDM to 2 sets of time resources </w:t>
      </w:r>
      <w:r w:rsidR="004163B3">
        <w:rPr>
          <w:lang w:eastAsia="zh-CN"/>
        </w:rPr>
        <w:t>maximum</w:t>
      </w:r>
      <w:r w:rsidR="00A34334">
        <w:t>.</w:t>
      </w:r>
      <w:r w:rsidR="00680DB5">
        <w:t xml:space="preserve"> </w:t>
      </w:r>
      <w:r w:rsidRPr="004E20DB">
        <w:rPr>
          <w:lang w:eastAsia="zh-CN"/>
        </w:rPr>
        <w:t xml:space="preserve">With this </w:t>
      </w:r>
      <w:r w:rsidR="003535D5">
        <w:rPr>
          <w:lang w:eastAsia="zh-CN"/>
        </w:rPr>
        <w:t>approach</w:t>
      </w:r>
      <w:r w:rsidRPr="004E20DB">
        <w:rPr>
          <w:lang w:eastAsia="zh-CN"/>
        </w:rPr>
        <w:t xml:space="preserve">, </w:t>
      </w:r>
      <w:r w:rsidR="00477550">
        <w:rPr>
          <w:lang w:eastAsia="zh-CN"/>
        </w:rPr>
        <w:t xml:space="preserve">the TDM is only used to multiplex </w:t>
      </w:r>
      <w:r w:rsidR="0079082E">
        <w:rPr>
          <w:lang w:eastAsia="zh-CN"/>
        </w:rPr>
        <w:t xml:space="preserve">the legacy Rel-15 </w:t>
      </w:r>
      <w:r w:rsidRPr="004E20DB">
        <w:rPr>
          <w:lang w:eastAsia="zh-CN"/>
        </w:rPr>
        <w:t xml:space="preserve">WUS </w:t>
      </w:r>
      <w:r w:rsidR="00477550">
        <w:rPr>
          <w:lang w:eastAsia="zh-CN"/>
        </w:rPr>
        <w:t xml:space="preserve">and </w:t>
      </w:r>
      <w:r w:rsidR="0079082E">
        <w:rPr>
          <w:lang w:eastAsia="zh-CN"/>
        </w:rPr>
        <w:t xml:space="preserve">one of the new Rel-16 </w:t>
      </w:r>
      <w:proofErr w:type="spellStart"/>
      <w:r w:rsidR="0079082E">
        <w:rPr>
          <w:lang w:eastAsia="zh-CN"/>
        </w:rPr>
        <w:t>WUSes</w:t>
      </w:r>
      <w:proofErr w:type="spellEnd"/>
      <w:r w:rsidR="0079082E">
        <w:rPr>
          <w:lang w:eastAsia="zh-CN"/>
        </w:rPr>
        <w:t>.</w:t>
      </w:r>
      <w:r w:rsidR="007830AA">
        <w:rPr>
          <w:lang w:eastAsia="zh-CN"/>
        </w:rPr>
        <w:t xml:space="preserve"> The </w:t>
      </w:r>
      <w:r w:rsidR="007830AA">
        <w:t xml:space="preserve">separation of the legacy WUS from the Rel-16 </w:t>
      </w:r>
      <w:proofErr w:type="spellStart"/>
      <w:r w:rsidR="007830AA">
        <w:t>WUSes</w:t>
      </w:r>
      <w:proofErr w:type="spellEnd"/>
      <w:r w:rsidR="007830AA">
        <w:t xml:space="preserve"> in the time domain </w:t>
      </w:r>
      <w:r w:rsidR="00796CDA">
        <w:t xml:space="preserve">also </w:t>
      </w:r>
      <w:r w:rsidR="007830AA">
        <w:t>minimizes the impact on the legacy WUS performance as much as possible as clearly says the agreement from the last meeting:</w:t>
      </w:r>
    </w:p>
    <w:tbl>
      <w:tblPr>
        <w:tblStyle w:val="TableGrid"/>
        <w:tblW w:w="0" w:type="auto"/>
        <w:tblLook w:val="04A0" w:firstRow="1" w:lastRow="0" w:firstColumn="1" w:lastColumn="0" w:noHBand="0" w:noVBand="1"/>
      </w:tblPr>
      <w:tblGrid>
        <w:gridCol w:w="9962"/>
      </w:tblGrid>
      <w:tr w:rsidR="007830AA" w14:paraId="61A9EB15" w14:textId="77777777" w:rsidTr="00146CA7">
        <w:tc>
          <w:tcPr>
            <w:tcW w:w="9962" w:type="dxa"/>
          </w:tcPr>
          <w:p w14:paraId="4D3D014E" w14:textId="77777777" w:rsidR="007830AA" w:rsidRDefault="007830AA" w:rsidP="00146CA7">
            <w:pPr>
              <w:spacing w:line="240" w:lineRule="auto"/>
              <w:rPr>
                <w:b/>
                <w:highlight w:val="green"/>
              </w:rPr>
            </w:pPr>
            <w:r>
              <w:rPr>
                <w:b/>
                <w:highlight w:val="green"/>
              </w:rPr>
              <w:lastRenderedPageBreak/>
              <w:t xml:space="preserve">Agreement </w:t>
            </w:r>
          </w:p>
          <w:p w14:paraId="3867F02B" w14:textId="77777777" w:rsidR="007830AA" w:rsidRDefault="007830AA" w:rsidP="00146CA7">
            <w:pPr>
              <w:spacing w:line="240" w:lineRule="auto"/>
              <w:rPr>
                <w:lang w:eastAsia="x-none"/>
              </w:rPr>
            </w:pPr>
            <w:r>
              <w:rPr>
                <w:lang w:eastAsia="x-none"/>
              </w:rPr>
              <w:t>The legacy UE should not be prevented from using legacy WUS even in the case of Rel-16 group WUS is enabled</w:t>
            </w:r>
          </w:p>
          <w:p w14:paraId="06756B81" w14:textId="77777777" w:rsidR="007830AA" w:rsidRDefault="007830AA" w:rsidP="007830AA">
            <w:pPr>
              <w:numPr>
                <w:ilvl w:val="0"/>
                <w:numId w:val="12"/>
              </w:numPr>
              <w:overflowPunct/>
              <w:autoSpaceDE/>
              <w:autoSpaceDN/>
              <w:adjustRightInd/>
              <w:spacing w:after="0" w:line="240" w:lineRule="auto"/>
              <w:ind w:left="1440"/>
              <w:textAlignment w:val="auto"/>
            </w:pPr>
            <w:r>
              <w:rPr>
                <w:lang w:eastAsia="x-none"/>
              </w:rPr>
              <w:t>Performance impact on legacy WUS should be carefully considered</w:t>
            </w:r>
          </w:p>
        </w:tc>
      </w:tr>
    </w:tbl>
    <w:p w14:paraId="7A6A61B5" w14:textId="1FD12C4C" w:rsidR="00A7793B" w:rsidRDefault="00477550" w:rsidP="00244000">
      <w:pPr>
        <w:pStyle w:val="TdocText"/>
        <w:rPr>
          <w:lang w:eastAsia="zh-CN"/>
        </w:rPr>
      </w:pPr>
      <w:r>
        <w:rPr>
          <w:lang w:eastAsia="zh-CN"/>
        </w:rPr>
        <w:t xml:space="preserve">There is no need to multiplex </w:t>
      </w:r>
      <w:r w:rsidR="00B5737A">
        <w:rPr>
          <w:lang w:eastAsia="zh-CN"/>
        </w:rPr>
        <w:t>Rel-16 WUSes because if UEs from both UE groups are to be paged, the common UE group WUS can be used</w:t>
      </w:r>
      <w:r w:rsidR="000F25FA">
        <w:rPr>
          <w:lang w:eastAsia="zh-CN"/>
        </w:rPr>
        <w:t xml:space="preserve">, i.e., </w:t>
      </w:r>
      <w:r w:rsidR="000F25FA" w:rsidRPr="000F25FA">
        <w:rPr>
          <w:lang w:eastAsia="zh-CN"/>
        </w:rPr>
        <w:t>single sequence CDM</w:t>
      </w:r>
      <w:r w:rsidR="000F25FA">
        <w:rPr>
          <w:lang w:eastAsia="zh-CN"/>
        </w:rPr>
        <w:t xml:space="preserve"> is used</w:t>
      </w:r>
      <w:r w:rsidR="00B5737A">
        <w:rPr>
          <w:lang w:eastAsia="zh-CN"/>
        </w:rPr>
        <w:t>.</w:t>
      </w:r>
    </w:p>
    <w:p w14:paraId="39919C85" w14:textId="77777777" w:rsidR="008C2BF3" w:rsidRDefault="008C2BF3" w:rsidP="008C2BF3">
      <w:pPr>
        <w:rPr>
          <w:lang w:eastAsia="zh-CN"/>
        </w:rPr>
      </w:pPr>
    </w:p>
    <w:p w14:paraId="222E63AC" w14:textId="545821D6" w:rsidR="008C2BF3" w:rsidRPr="00A57355" w:rsidRDefault="008C2BF3" w:rsidP="008C2BF3">
      <w:pPr>
        <w:pStyle w:val="TdocProposal"/>
      </w:pPr>
      <w:r>
        <w:t xml:space="preserve">Proposal </w:t>
      </w:r>
      <w:r w:rsidR="00991BEC">
        <w:t>2</w:t>
      </w:r>
      <w:r w:rsidRPr="00A57355">
        <w:t>:</w:t>
      </w:r>
    </w:p>
    <w:p w14:paraId="741508FC" w14:textId="2A4D8590" w:rsidR="000F25FA" w:rsidRDefault="00F317B4" w:rsidP="008C2BF3">
      <w:pPr>
        <w:pStyle w:val="TdocProposalText"/>
      </w:pPr>
      <w:r>
        <w:t>T</w:t>
      </w:r>
      <w:r w:rsidR="008C2BF3" w:rsidRPr="00E42140">
        <w:t xml:space="preserve">DM </w:t>
      </w:r>
      <w:r w:rsidR="00C72045">
        <w:t xml:space="preserve">is used </w:t>
      </w:r>
      <w:r w:rsidR="008C2BF3" w:rsidRPr="00E42140">
        <w:t xml:space="preserve">to </w:t>
      </w:r>
      <w:r w:rsidR="000F25FA">
        <w:t>multiplex Rel-16 WUS and the legacy Rel-15 WUS transmissions.</w:t>
      </w:r>
    </w:p>
    <w:p w14:paraId="68B290A7" w14:textId="12A4519B" w:rsidR="008C2BF3" w:rsidRDefault="009F5120" w:rsidP="008C2BF3">
      <w:pPr>
        <w:pStyle w:val="TdocProposalText"/>
      </w:pPr>
      <w:r w:rsidRPr="00E42140">
        <w:t xml:space="preserve">Support </w:t>
      </w:r>
      <w:r>
        <w:t>single sequence C</w:t>
      </w:r>
      <w:r w:rsidRPr="00E42140">
        <w:t xml:space="preserve">DM to </w:t>
      </w:r>
      <w:r>
        <w:t>multiplex Rel-16 WUS transmissions</w:t>
      </w:r>
      <w:r w:rsidRPr="00E42140" w:rsidDel="000F25FA">
        <w:t xml:space="preserve"> </w:t>
      </w:r>
    </w:p>
    <w:p w14:paraId="25644856" w14:textId="77777777" w:rsidR="008C2BF3" w:rsidRDefault="008C2BF3" w:rsidP="008C2BF3">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5D099929" w14:textId="4E35C651" w:rsidR="00397D96" w:rsidRDefault="00EB2217" w:rsidP="00582921">
      <w:pPr>
        <w:pStyle w:val="TdocText"/>
      </w:pPr>
      <w:r>
        <w:t xml:space="preserve">The WUS sequence generation for </w:t>
      </w:r>
      <w:r w:rsidR="009D5F84">
        <w:t>NB-IoT</w:t>
      </w:r>
      <w:r>
        <w:t xml:space="preserve"> is defined in Section </w:t>
      </w:r>
      <w:r w:rsidR="00F7279A" w:rsidRPr="00F7279A">
        <w:t>10.2.6B.1</w:t>
      </w:r>
      <w:r>
        <w:t xml:space="preserve"> of </w:t>
      </w:r>
      <w:r w:rsidR="00360253">
        <w:rPr>
          <w:highlight w:val="yellow"/>
        </w:rPr>
        <w:fldChar w:fldCharType="begin"/>
      </w:r>
      <w:r w:rsidR="00360253">
        <w:instrText xml:space="preserve"> REF _Ref525558335 \r \h </w:instrText>
      </w:r>
      <w:r w:rsidR="00360253">
        <w:rPr>
          <w:highlight w:val="yellow"/>
        </w:rPr>
      </w:r>
      <w:r w:rsidR="00360253">
        <w:rPr>
          <w:highlight w:val="yellow"/>
        </w:rPr>
        <w:fldChar w:fldCharType="separate"/>
      </w:r>
      <w:r w:rsidR="00667C2E">
        <w:t>[4]</w:t>
      </w:r>
      <w:r w:rsidR="00360253">
        <w:rPr>
          <w:highlight w:val="yellow"/>
        </w:rPr>
        <w:fldChar w:fldCharType="end"/>
      </w:r>
      <w:r>
        <w:t xml:space="preserve">. In order to keep backwards compatibility with Rel-15 and, at the same time, minimize the impact on the </w:t>
      </w:r>
      <w:r w:rsidR="00BB5C45">
        <w:t xml:space="preserve">existing </w:t>
      </w:r>
      <w:r>
        <w:t>RAN1 specification, the following procedure for WUS sequence generation is proposed for Rel-16.</w:t>
      </w:r>
      <w:r w:rsidR="005A5313">
        <w:t xml:space="preserve"> The Gold RE-level scrambling sequence </w:t>
      </w:r>
      <w:r w:rsidR="005A5313" w:rsidRPr="00FD7E66">
        <w:rPr>
          <w:position w:val="-14"/>
        </w:rPr>
        <w:object w:dxaOrig="760" w:dyaOrig="380" w14:anchorId="21E7C5F0">
          <v:shape id="_x0000_i1026" type="#_x0000_t75" style="width:38.5pt;height:19pt" o:ole="">
            <v:imagedata r:id="rId14" o:title=""/>
          </v:shape>
          <o:OLEObject Type="Embed" ProgID="Equation.DSMT4" ShapeID="_x0000_i1026" DrawAspect="Content" ObjectID="_1602704755" r:id="rId15"/>
        </w:object>
      </w:r>
      <w:r w:rsidR="005A5313">
        <w:t xml:space="preserve"> is extended </w:t>
      </w:r>
      <w:r w:rsidR="005A5313" w:rsidRPr="00FD7E66">
        <w:rPr>
          <w:position w:val="-14"/>
        </w:rPr>
        <w:object w:dxaOrig="499" w:dyaOrig="400" w14:anchorId="42A2CDBE">
          <v:shape id="_x0000_i1027" type="#_x0000_t75" style="width:25pt;height:20.5pt" o:ole="">
            <v:imagedata r:id="rId16" o:title=""/>
          </v:shape>
          <o:OLEObject Type="Embed" ProgID="Equation.DSMT4" ShapeID="_x0000_i1027" DrawAspect="Content" ObjectID="_1602704756" r:id="rId17"/>
        </w:object>
      </w:r>
      <w:r w:rsidR="005A5313">
        <w:t xml:space="preserve"> times</w:t>
      </w:r>
      <w:proofErr w:type="gramStart"/>
      <w:r w:rsidR="00582921">
        <w:t xml:space="preserve">, </w:t>
      </w:r>
      <w:proofErr w:type="gramEnd"/>
      <w:r w:rsidR="00582921" w:rsidRPr="00FD7E66">
        <w:rPr>
          <w:position w:val="-14"/>
        </w:rPr>
        <w:object w:dxaOrig="2720" w:dyaOrig="400" w14:anchorId="42239481">
          <v:shape id="_x0000_i1028" type="#_x0000_t75" style="width:135.5pt;height:20.5pt" o:ole="">
            <v:imagedata r:id="rId18" o:title=""/>
          </v:shape>
          <o:OLEObject Type="Embed" ProgID="Equation.DSMT4" ShapeID="_x0000_i1028" DrawAspect="Content" ObjectID="_1602704757" r:id="rId19"/>
        </w:object>
      </w:r>
      <w:r w:rsidR="00582921">
        <w:t>,</w:t>
      </w:r>
      <w:r w:rsidR="005A5313">
        <w:t xml:space="preserve"> where </w:t>
      </w:r>
      <w:r w:rsidR="005A5313" w:rsidRPr="008F379D">
        <w:rPr>
          <w:position w:val="-14"/>
        </w:rPr>
        <w:object w:dxaOrig="499" w:dyaOrig="400" w14:anchorId="4D13F9CB">
          <v:shape id="_x0000_i1029" type="#_x0000_t75" style="width:25pt;height:20.5pt" o:ole="">
            <v:imagedata r:id="rId16" o:title=""/>
          </v:shape>
          <o:OLEObject Type="Embed" ProgID="Equation.DSMT4" ShapeID="_x0000_i1029" DrawAspect="Content" ObjectID="_1602704758" r:id="rId20"/>
        </w:object>
      </w:r>
      <w:r w:rsidR="005A5313">
        <w:t xml:space="preserve"> is the total number of UE groups using the same initialization value </w:t>
      </w:r>
      <w:r w:rsidR="005A5313" w:rsidRPr="00FD7E66">
        <w:rPr>
          <w:position w:val="-14"/>
        </w:rPr>
        <w:object w:dxaOrig="740" w:dyaOrig="380" w14:anchorId="3BC557AF">
          <v:shape id="_x0000_i1030" type="#_x0000_t75" style="width:36.5pt;height:19pt" o:ole="">
            <v:imagedata r:id="rId21" o:title=""/>
          </v:shape>
          <o:OLEObject Type="Embed" ProgID="Equation.DSMT4" ShapeID="_x0000_i1030" DrawAspect="Content" ObjectID="_1602704759" r:id="rId22"/>
        </w:object>
      </w:r>
      <w:r w:rsidR="005A5313">
        <w:t xml:space="preserve"> as defined in Section </w:t>
      </w:r>
      <w:r w:rsidR="00A31E09" w:rsidRPr="00A31E09">
        <w:t>10.2.6B.1</w:t>
      </w:r>
      <w:r w:rsidR="005A5313">
        <w:t xml:space="preserve"> </w:t>
      </w:r>
      <w:r w:rsidR="005A5313">
        <w:rPr>
          <w:highlight w:val="yellow"/>
        </w:rPr>
        <w:fldChar w:fldCharType="begin"/>
      </w:r>
      <w:r w:rsidR="005A5313">
        <w:instrText xml:space="preserve"> REF _Ref525558335 \r \h </w:instrText>
      </w:r>
      <w:r w:rsidR="005A5313">
        <w:rPr>
          <w:highlight w:val="yellow"/>
        </w:rPr>
      </w:r>
      <w:r w:rsidR="005A5313">
        <w:rPr>
          <w:highlight w:val="yellow"/>
        </w:rPr>
        <w:fldChar w:fldCharType="separate"/>
      </w:r>
      <w:r w:rsidR="00A31E09">
        <w:t>[4]</w:t>
      </w:r>
      <w:r w:rsidR="005A5313">
        <w:rPr>
          <w:highlight w:val="yellow"/>
        </w:rPr>
        <w:fldChar w:fldCharType="end"/>
      </w:r>
      <w:r w:rsidR="005A5313">
        <w:t>.</w:t>
      </w:r>
      <w:r w:rsidR="00BB5C45">
        <w:t xml:space="preserve"> </w:t>
      </w:r>
      <w:r w:rsidR="0012560A">
        <w:t>For WUS scrambling</w:t>
      </w:r>
      <w:r w:rsidR="00166F17">
        <w:t>, a</w:t>
      </w:r>
      <w:r w:rsidR="00BB5C45">
        <w:t xml:space="preserve"> </w:t>
      </w:r>
      <w:r w:rsidR="00397D96">
        <w:t xml:space="preserve">shorter </w:t>
      </w:r>
      <w:proofErr w:type="gramStart"/>
      <w:r w:rsidR="00BB5C45">
        <w:t xml:space="preserve">subsequence </w:t>
      </w:r>
      <w:proofErr w:type="gramEnd"/>
      <w:r w:rsidR="00582921" w:rsidRPr="00C85655">
        <w:rPr>
          <w:position w:val="-14"/>
        </w:rPr>
        <w:object w:dxaOrig="920" w:dyaOrig="380" w14:anchorId="59C552C9">
          <v:shape id="_x0000_i1031" type="#_x0000_t75" style="width:46pt;height:19pt" o:ole="">
            <v:imagedata r:id="rId23" o:title=""/>
          </v:shape>
          <o:OLEObject Type="Embed" ProgID="Equation.DSMT4" ShapeID="_x0000_i1031" DrawAspect="Content" ObjectID="_1602704760" r:id="rId24"/>
        </w:object>
      </w:r>
      <w:r w:rsidR="00582921">
        <w:t xml:space="preserve">, </w:t>
      </w:r>
      <w:r w:rsidR="00582921" w:rsidRPr="00C85655">
        <w:object w:dxaOrig="2220" w:dyaOrig="320" w14:anchorId="76FB8A1A">
          <v:shape id="_x0000_i1032" type="#_x0000_t75" style="width:111pt;height:15.5pt" o:ole="">
            <v:imagedata r:id="rId25" o:title=""/>
          </v:shape>
          <o:OLEObject Type="Embed" ProgID="Equation.DSMT4" ShapeID="_x0000_i1032" DrawAspect="Content" ObjectID="_1602704761" r:id="rId26"/>
        </w:object>
      </w:r>
      <w:r w:rsidR="00582921">
        <w:t xml:space="preserve">, </w:t>
      </w:r>
      <w:r w:rsidR="00BB5C45">
        <w:t xml:space="preserve">from the new long Gold sequence </w:t>
      </w:r>
      <w:r w:rsidR="00BB5C45" w:rsidRPr="008F379D">
        <w:rPr>
          <w:position w:val="-14"/>
        </w:rPr>
        <w:object w:dxaOrig="760" w:dyaOrig="380" w14:anchorId="5E06CE8E">
          <v:shape id="_x0000_i1033" type="#_x0000_t75" style="width:38.5pt;height:19pt" o:ole="">
            <v:imagedata r:id="rId14" o:title=""/>
          </v:shape>
          <o:OLEObject Type="Embed" ProgID="Equation.DSMT4" ShapeID="_x0000_i1033" DrawAspect="Content" ObjectID="_1602704762" r:id="rId27"/>
        </w:object>
      </w:r>
      <w:r w:rsidR="00BB5C45">
        <w:t xml:space="preserve"> is selected according to the UE group index </w:t>
      </w:r>
      <w:r w:rsidR="00397D96" w:rsidRPr="00FD7E66">
        <w:rPr>
          <w:position w:val="-6"/>
        </w:rPr>
        <w:object w:dxaOrig="180" w:dyaOrig="220" w14:anchorId="0FB6BD24">
          <v:shape id="_x0000_i1034" type="#_x0000_t75" style="width:9pt;height:11.5pt" o:ole="">
            <v:imagedata r:id="rId28" o:title=""/>
          </v:shape>
          <o:OLEObject Type="Embed" ProgID="Equation.DSMT4" ShapeID="_x0000_i1034" DrawAspect="Content" ObjectID="_1602704763" r:id="rId29"/>
        </w:object>
      </w:r>
      <w:r w:rsidR="00397D96">
        <w:t xml:space="preserve">, </w:t>
      </w:r>
      <w:r w:rsidR="002D3DF4" w:rsidRPr="00FD7E66">
        <w:rPr>
          <w:position w:val="-14"/>
        </w:rPr>
        <w:object w:dxaOrig="1840" w:dyaOrig="400" w14:anchorId="4F399A80">
          <v:shape id="_x0000_i1035" type="#_x0000_t75" style="width:92.5pt;height:20.5pt" o:ole="">
            <v:imagedata r:id="rId30" o:title=""/>
          </v:shape>
          <o:OLEObject Type="Embed" ProgID="Equation.DSMT4" ShapeID="_x0000_i1035" DrawAspect="Content" ObjectID="_1602704764" r:id="rId31"/>
        </w:object>
      </w:r>
      <w:r w:rsidR="00397D96">
        <w:t xml:space="preserve">, </w:t>
      </w:r>
      <w:r w:rsidR="00BB5C45">
        <w:t>as follows:</w:t>
      </w:r>
    </w:p>
    <w:p w14:paraId="0A2C37BB" w14:textId="5C7697EE" w:rsidR="005A2ED3" w:rsidRDefault="005E2E84" w:rsidP="005B0B95">
      <w:pPr>
        <w:pStyle w:val="TdocEquation"/>
      </w:pPr>
      <w:r w:rsidRPr="005E2E84">
        <w:tab/>
      </w:r>
      <w:r w:rsidR="00397D96" w:rsidRPr="005B0B95">
        <w:object w:dxaOrig="3140" w:dyaOrig="380" w14:anchorId="7B9FCB55">
          <v:shape id="_x0000_i1036" type="#_x0000_t75" style="width:156.5pt;height:19pt" o:ole="">
            <v:imagedata r:id="rId32" o:title=""/>
          </v:shape>
          <o:OLEObject Type="Embed" ProgID="Equation.DSMT4" ShapeID="_x0000_i1036" DrawAspect="Content" ObjectID="_1602704765" r:id="rId33"/>
        </w:object>
      </w:r>
      <w:r w:rsidR="00397D96" w:rsidRPr="005B0B95">
        <w:t>,</w:t>
      </w:r>
      <w:r w:rsidRPr="005B0B95">
        <w:tab/>
      </w:r>
      <w:r w:rsidR="005B0B95">
        <w:fldChar w:fldCharType="begin"/>
      </w:r>
      <w:r w:rsidR="005B0B95">
        <w:instrText xml:space="preserve"> MACROBUTTON MTPlaceRef \* MERGEFORMAT </w:instrText>
      </w:r>
      <w:r w:rsidR="005B0B95">
        <w:fldChar w:fldCharType="begin"/>
      </w:r>
      <w:r w:rsidR="005B0B95">
        <w:instrText xml:space="preserve"> SEQ MTEqn \h \* MERGEFORMAT </w:instrText>
      </w:r>
      <w:r w:rsidR="005B0B95">
        <w:fldChar w:fldCharType="end"/>
      </w:r>
      <w:r w:rsidR="005B0B95">
        <w:instrText>(</w:instrText>
      </w:r>
      <w:r w:rsidR="00E60882">
        <w:rPr>
          <w:noProof/>
        </w:rPr>
        <w:fldChar w:fldCharType="begin"/>
      </w:r>
      <w:r w:rsidR="00E60882">
        <w:rPr>
          <w:noProof/>
        </w:rPr>
        <w:instrText xml:space="preserve"> SEQ MTEqn \c \* Arabic \* MERGEFORMAT </w:instrText>
      </w:r>
      <w:r w:rsidR="00E60882">
        <w:rPr>
          <w:noProof/>
        </w:rPr>
        <w:fldChar w:fldCharType="separate"/>
      </w:r>
      <w:r w:rsidR="005B0B95">
        <w:rPr>
          <w:noProof/>
        </w:rPr>
        <w:instrText>1</w:instrText>
      </w:r>
      <w:r w:rsidR="00E60882">
        <w:rPr>
          <w:noProof/>
        </w:rPr>
        <w:fldChar w:fldCharType="end"/>
      </w:r>
      <w:r w:rsidR="005B0B95">
        <w:instrText>)</w:instrText>
      </w:r>
      <w:r w:rsidR="005B0B95">
        <w:fldChar w:fldCharType="end"/>
      </w:r>
    </w:p>
    <w:p w14:paraId="0050DA37" w14:textId="2F66B5C5" w:rsidR="001C3A5F" w:rsidRDefault="00A2440A" w:rsidP="00C85655">
      <w:pPr>
        <w:pStyle w:val="TdocText"/>
      </w:pPr>
      <w:proofErr w:type="gramStart"/>
      <w:r>
        <w:t>where</w:t>
      </w:r>
      <w:proofErr w:type="gramEnd"/>
      <w:r>
        <w:t xml:space="preserve"> an example correspondence between </w:t>
      </w:r>
      <w:r w:rsidR="0009763B">
        <w:t xml:space="preserve">the index </w:t>
      </w:r>
      <w:r w:rsidR="0009763B" w:rsidRPr="00FD7E66">
        <w:rPr>
          <w:position w:val="-6"/>
        </w:rPr>
        <w:object w:dxaOrig="180" w:dyaOrig="220" w14:anchorId="599473B4">
          <v:shape id="_x0000_i1037" type="#_x0000_t75" style="width:9pt;height:11.5pt" o:ole="">
            <v:imagedata r:id="rId28" o:title=""/>
          </v:shape>
          <o:OLEObject Type="Embed" ProgID="Equation.DSMT4" ShapeID="_x0000_i1037" DrawAspect="Content" ObjectID="_1602704766" r:id="rId34"/>
        </w:object>
      </w:r>
      <w:r w:rsidR="0009763B">
        <w:t xml:space="preserve"> and UE groups is given in </w:t>
      </w:r>
      <w:r w:rsidR="00C85655">
        <w:fldChar w:fldCharType="begin"/>
      </w:r>
      <w:r w:rsidR="00C85655">
        <w:instrText xml:space="preserve"> REF _Ref525564325 \h </w:instrText>
      </w:r>
      <w:r w:rsidR="00C85655">
        <w:fldChar w:fldCharType="separate"/>
      </w:r>
      <w:r w:rsidR="00C85655">
        <w:t xml:space="preserve">Table </w:t>
      </w:r>
      <w:r w:rsidR="00C85655">
        <w:rPr>
          <w:noProof/>
        </w:rPr>
        <w:t>1</w:t>
      </w:r>
      <w:r w:rsidR="00C85655">
        <w:fldChar w:fldCharType="end"/>
      </w:r>
      <w:r w:rsidR="0009763B">
        <w:t>.</w:t>
      </w:r>
    </w:p>
    <w:p w14:paraId="068EBFB5" w14:textId="4ECFFFA1" w:rsidR="00210956" w:rsidRDefault="00210956" w:rsidP="00C85655">
      <w:pPr>
        <w:pStyle w:val="TdocTableCaption"/>
      </w:pPr>
      <w:bookmarkStart w:id="7" w:name="_Ref525564325"/>
      <w:r>
        <w:t xml:space="preserve">Table </w:t>
      </w:r>
      <w:r w:rsidR="00094D19">
        <w:rPr>
          <w:noProof/>
        </w:rPr>
        <w:fldChar w:fldCharType="begin"/>
      </w:r>
      <w:r w:rsidR="00094D19">
        <w:rPr>
          <w:noProof/>
        </w:rPr>
        <w:instrText xml:space="preserve"> SEQ Table \* ARABIC </w:instrText>
      </w:r>
      <w:r w:rsidR="00094D19">
        <w:rPr>
          <w:noProof/>
        </w:rPr>
        <w:fldChar w:fldCharType="separate"/>
      </w:r>
      <w:r>
        <w:rPr>
          <w:noProof/>
        </w:rPr>
        <w:t>1</w:t>
      </w:r>
      <w:r w:rsidR="00094D19">
        <w:rPr>
          <w:noProof/>
        </w:rPr>
        <w:fldChar w:fldCharType="end"/>
      </w:r>
      <w:bookmarkEnd w:id="7"/>
      <w:r>
        <w:t>.</w:t>
      </w:r>
    </w:p>
    <w:tbl>
      <w:tblPr>
        <w:tblStyle w:val="TableGrid"/>
        <w:tblW w:w="0" w:type="auto"/>
        <w:tblInd w:w="3256" w:type="dxa"/>
        <w:tblLook w:val="04A0" w:firstRow="1" w:lastRow="0" w:firstColumn="1" w:lastColumn="0" w:noHBand="0" w:noVBand="1"/>
      </w:tblPr>
      <w:tblGrid>
        <w:gridCol w:w="1901"/>
        <w:gridCol w:w="1902"/>
      </w:tblGrid>
      <w:tr w:rsidR="00205039" w14:paraId="2212E672" w14:textId="77777777" w:rsidTr="00C85655">
        <w:tc>
          <w:tcPr>
            <w:tcW w:w="1901" w:type="dxa"/>
            <w:shd w:val="clear" w:color="auto" w:fill="D0CECE" w:themeFill="background2" w:themeFillShade="E6"/>
          </w:tcPr>
          <w:p w14:paraId="3FDEC4F3" w14:textId="30F24DDA" w:rsidR="00205039" w:rsidRDefault="00205039" w:rsidP="00C85655">
            <w:pPr>
              <w:pStyle w:val="TdocTableCap"/>
              <w:jc w:val="center"/>
            </w:pPr>
            <w:r>
              <w:t xml:space="preserve">UE group index, </w:t>
            </w:r>
            <w:r w:rsidRPr="00FD7E66">
              <w:rPr>
                <w:position w:val="-6"/>
              </w:rPr>
              <w:object w:dxaOrig="180" w:dyaOrig="220" w14:anchorId="0FE3CB13">
                <v:shape id="_x0000_i1038" type="#_x0000_t75" style="width:9pt;height:11.5pt" o:ole="">
                  <v:imagedata r:id="rId28" o:title=""/>
                </v:shape>
                <o:OLEObject Type="Embed" ProgID="Equation.DSMT4" ShapeID="_x0000_i1038" DrawAspect="Content" ObjectID="_1602704767" r:id="rId35"/>
              </w:object>
            </w:r>
          </w:p>
        </w:tc>
        <w:tc>
          <w:tcPr>
            <w:tcW w:w="1902" w:type="dxa"/>
            <w:shd w:val="clear" w:color="auto" w:fill="D0CECE" w:themeFill="background2" w:themeFillShade="E6"/>
          </w:tcPr>
          <w:p w14:paraId="603666CE" w14:textId="7F2AFF6C" w:rsidR="00205039" w:rsidRDefault="00205039" w:rsidP="00C85655">
            <w:pPr>
              <w:pStyle w:val="TdocTableCap"/>
              <w:jc w:val="center"/>
            </w:pPr>
            <w:r>
              <w:t>UE group</w:t>
            </w:r>
          </w:p>
        </w:tc>
      </w:tr>
      <w:tr w:rsidR="00205039" w14:paraId="7EBE1AF3" w14:textId="77777777" w:rsidTr="00C85655">
        <w:tc>
          <w:tcPr>
            <w:tcW w:w="1901" w:type="dxa"/>
          </w:tcPr>
          <w:p w14:paraId="4A1F75AF" w14:textId="6F92055B" w:rsidR="00205039" w:rsidRDefault="00205039" w:rsidP="00C85655">
            <w:pPr>
              <w:pStyle w:val="TdocTableContent"/>
              <w:jc w:val="center"/>
            </w:pPr>
            <w:r>
              <w:t>0</w:t>
            </w:r>
          </w:p>
        </w:tc>
        <w:tc>
          <w:tcPr>
            <w:tcW w:w="1902" w:type="dxa"/>
          </w:tcPr>
          <w:p w14:paraId="33F2A559" w14:textId="37D559A3" w:rsidR="00205039" w:rsidRDefault="00205039" w:rsidP="00C85655">
            <w:pPr>
              <w:pStyle w:val="TdocTableContent"/>
              <w:jc w:val="center"/>
            </w:pPr>
            <w:r>
              <w:t>Legacy Rel-15</w:t>
            </w:r>
          </w:p>
        </w:tc>
      </w:tr>
      <w:tr w:rsidR="00F05CA2" w14:paraId="2F572080" w14:textId="77777777" w:rsidTr="00C85655">
        <w:tc>
          <w:tcPr>
            <w:tcW w:w="1901" w:type="dxa"/>
          </w:tcPr>
          <w:p w14:paraId="5E1CD164" w14:textId="4FE47635" w:rsidR="00F05CA2" w:rsidRDefault="00F05CA2" w:rsidP="00F05CA2">
            <w:pPr>
              <w:pStyle w:val="TdocTableContent"/>
              <w:jc w:val="center"/>
            </w:pPr>
            <w:r>
              <w:t>1</w:t>
            </w:r>
          </w:p>
        </w:tc>
        <w:tc>
          <w:tcPr>
            <w:tcW w:w="1902" w:type="dxa"/>
          </w:tcPr>
          <w:p w14:paraId="1299BF93" w14:textId="728D9837" w:rsidR="00F05CA2" w:rsidRDefault="00F05CA2" w:rsidP="00F05CA2">
            <w:pPr>
              <w:pStyle w:val="TdocTableContent"/>
              <w:jc w:val="center"/>
            </w:pPr>
            <w:r>
              <w:t>UE common</w:t>
            </w:r>
          </w:p>
        </w:tc>
      </w:tr>
      <w:tr w:rsidR="00F05CA2" w14:paraId="721A9017" w14:textId="77777777" w:rsidTr="00C85655">
        <w:tc>
          <w:tcPr>
            <w:tcW w:w="1901" w:type="dxa"/>
          </w:tcPr>
          <w:p w14:paraId="3C86ADE2" w14:textId="0A97BCBA" w:rsidR="00F05CA2" w:rsidRDefault="00F05CA2" w:rsidP="00F05CA2">
            <w:pPr>
              <w:pStyle w:val="TdocTableContent"/>
              <w:jc w:val="center"/>
            </w:pPr>
            <w:r>
              <w:t>2</w:t>
            </w:r>
          </w:p>
        </w:tc>
        <w:tc>
          <w:tcPr>
            <w:tcW w:w="1902" w:type="dxa"/>
          </w:tcPr>
          <w:p w14:paraId="15C999B6" w14:textId="3D156D6B" w:rsidR="00F05CA2" w:rsidRDefault="00F05CA2" w:rsidP="00F05CA2">
            <w:pPr>
              <w:pStyle w:val="TdocTableContent"/>
              <w:jc w:val="center"/>
            </w:pPr>
            <w:r>
              <w:t>UE group-0</w:t>
            </w:r>
          </w:p>
        </w:tc>
      </w:tr>
      <w:tr w:rsidR="00F05CA2" w14:paraId="4407854F" w14:textId="77777777" w:rsidTr="00C85655">
        <w:tc>
          <w:tcPr>
            <w:tcW w:w="1901" w:type="dxa"/>
          </w:tcPr>
          <w:p w14:paraId="377F959C" w14:textId="0005E713" w:rsidR="00F05CA2" w:rsidRDefault="00F05CA2" w:rsidP="00F05CA2">
            <w:pPr>
              <w:pStyle w:val="TdocTableContent"/>
              <w:jc w:val="center"/>
            </w:pPr>
            <w:r>
              <w:t>3</w:t>
            </w:r>
          </w:p>
        </w:tc>
        <w:tc>
          <w:tcPr>
            <w:tcW w:w="1902" w:type="dxa"/>
          </w:tcPr>
          <w:p w14:paraId="349B4735" w14:textId="55D7654F" w:rsidR="00F05CA2" w:rsidRDefault="00F05CA2" w:rsidP="00F05CA2">
            <w:pPr>
              <w:pStyle w:val="TdocTableContent"/>
              <w:jc w:val="center"/>
            </w:pPr>
            <w:r>
              <w:t>UE group-1</w:t>
            </w:r>
          </w:p>
        </w:tc>
      </w:tr>
    </w:tbl>
    <w:p w14:paraId="2204B053" w14:textId="513FBEDB" w:rsidR="00D557AF" w:rsidRDefault="00996C95" w:rsidP="00C85655">
      <w:pPr>
        <w:pStyle w:val="TdocText"/>
      </w:pPr>
      <w:r>
        <w:t xml:space="preserve">The procedure is illustrated in </w:t>
      </w:r>
      <w:r w:rsidR="00302992">
        <w:fldChar w:fldCharType="begin"/>
      </w:r>
      <w:r w:rsidR="00302992">
        <w:instrText xml:space="preserve"> REF _Ref525566939 \h </w:instrText>
      </w:r>
      <w:r w:rsidR="00302992">
        <w:fldChar w:fldCharType="separate"/>
      </w:r>
      <w:r w:rsidR="0035637C">
        <w:t xml:space="preserve">Figure </w:t>
      </w:r>
      <w:r w:rsidR="0035637C">
        <w:rPr>
          <w:noProof/>
        </w:rPr>
        <w:t>2</w:t>
      </w:r>
      <w:r w:rsidR="00302992">
        <w:fldChar w:fldCharType="end"/>
      </w:r>
      <w:r>
        <w:t>.</w:t>
      </w:r>
    </w:p>
    <w:p w14:paraId="07E3D49B" w14:textId="43566EBA" w:rsidR="00740E55" w:rsidRDefault="005D6F37" w:rsidP="0017253C">
      <w:pPr>
        <w:pStyle w:val="TdocFigure"/>
        <w:keepNext/>
      </w:pPr>
      <w:r>
        <w:object w:dxaOrig="5329" w:dyaOrig="4344" w14:anchorId="088A8657">
          <v:shape id="_x0000_i1039" type="#_x0000_t75" style="width:213pt;height:173.5pt;mso-position-horizontal:absolute" o:ole="">
            <v:imagedata r:id="rId36" o:title=""/>
          </v:shape>
          <o:OLEObject Type="Embed" ProgID="Visio.Drawing.15" ShapeID="_x0000_i1039" DrawAspect="Content" ObjectID="_1602704768" r:id="rId37"/>
        </w:object>
      </w:r>
    </w:p>
    <w:p w14:paraId="38077F6C" w14:textId="4F228748" w:rsidR="00302992" w:rsidRDefault="00302992" w:rsidP="0017253C">
      <w:pPr>
        <w:pStyle w:val="TdocFigureCaption"/>
      </w:pPr>
      <w:bookmarkStart w:id="8" w:name="_Ref525566939"/>
      <w:r>
        <w:t xml:space="preserve">Figure </w:t>
      </w:r>
      <w:r w:rsidR="00094D19">
        <w:rPr>
          <w:noProof/>
        </w:rPr>
        <w:fldChar w:fldCharType="begin"/>
      </w:r>
      <w:r w:rsidR="00094D19">
        <w:rPr>
          <w:noProof/>
        </w:rPr>
        <w:instrText xml:space="preserve"> SEQ Figure \* ARABIC </w:instrText>
      </w:r>
      <w:r w:rsidR="00094D19">
        <w:rPr>
          <w:noProof/>
        </w:rPr>
        <w:fldChar w:fldCharType="separate"/>
      </w:r>
      <w:r>
        <w:rPr>
          <w:noProof/>
        </w:rPr>
        <w:t>2</w:t>
      </w:r>
      <w:r w:rsidR="00094D19">
        <w:rPr>
          <w:noProof/>
        </w:rPr>
        <w:fldChar w:fldCharType="end"/>
      </w:r>
      <w:bookmarkEnd w:id="8"/>
      <w:r>
        <w:t xml:space="preserve">. </w:t>
      </w:r>
      <w:r w:rsidRPr="002D6CE4">
        <w:t>Illustration of WUS sequence generation in Rel-16.</w:t>
      </w:r>
    </w:p>
    <w:p w14:paraId="7B6C3E9F" w14:textId="67A7C484" w:rsidR="007127AB" w:rsidRDefault="007127AB" w:rsidP="0017253C">
      <w:pPr>
        <w:pStyle w:val="TdocText"/>
      </w:pPr>
      <w:r>
        <w:t>It can be easily seed that for the group of legacy Rel-15 UEs</w:t>
      </w:r>
      <w:r w:rsidR="00197DA8">
        <w:t xml:space="preserve"> </w:t>
      </w:r>
      <w:r w:rsidR="008578A7">
        <w:t>(</w:t>
      </w:r>
      <w:r w:rsidR="008578A7" w:rsidRPr="0017253C">
        <w:rPr>
          <w:position w:val="-6"/>
        </w:rPr>
        <w:object w:dxaOrig="540" w:dyaOrig="279" w14:anchorId="0ADDE6A5">
          <v:shape id="_x0000_i1040" type="#_x0000_t75" style="width:27pt;height:14.5pt" o:ole="">
            <v:imagedata r:id="rId38" o:title=""/>
          </v:shape>
          <o:OLEObject Type="Embed" ProgID="Equation.DSMT4" ShapeID="_x0000_i1040" DrawAspect="Content" ObjectID="_1602704769" r:id="rId39"/>
        </w:object>
      </w:r>
      <w:r w:rsidR="008578A7">
        <w:t>)</w:t>
      </w:r>
      <w:r w:rsidR="00197DA8">
        <w:t xml:space="preserve">, the proposed procedure produces the same WUS as </w:t>
      </w:r>
      <w:r w:rsidR="008578A7">
        <w:t xml:space="preserve">in Rel-15, </w:t>
      </w:r>
      <w:r w:rsidR="00197DA8">
        <w:t>thus</w:t>
      </w:r>
      <w:r w:rsidR="008578A7">
        <w:t xml:space="preserve">, </w:t>
      </w:r>
      <w:r w:rsidR="00197DA8">
        <w:t xml:space="preserve">providing </w:t>
      </w:r>
      <w:r w:rsidR="008578A7">
        <w:t xml:space="preserve">the required </w:t>
      </w:r>
      <w:r w:rsidR="00197DA8">
        <w:t>backwards compatibility</w:t>
      </w:r>
      <w:r w:rsidR="008578A7">
        <w:t>.</w:t>
      </w:r>
    </w:p>
    <w:p w14:paraId="68E8F6D1" w14:textId="77777777" w:rsidR="00197DA8" w:rsidRDefault="00197DA8" w:rsidP="0017253C">
      <w:pPr>
        <w:pStyle w:val="TdocText"/>
      </w:pPr>
    </w:p>
    <w:p w14:paraId="69634AEE" w14:textId="75861382" w:rsidR="00167EDB" w:rsidRDefault="00167EDB" w:rsidP="0017253C">
      <w:pPr>
        <w:pStyle w:val="TdocProposal"/>
      </w:pPr>
      <w:r>
        <w:t xml:space="preserve">Proposal </w:t>
      </w:r>
      <w:r w:rsidR="00854600">
        <w:t>3</w:t>
      </w:r>
      <w:r w:rsidR="001403B5">
        <w:t>:</w:t>
      </w:r>
    </w:p>
    <w:p w14:paraId="44525F25" w14:textId="46C8514A" w:rsidR="001403B5" w:rsidRDefault="00F11399" w:rsidP="0017253C">
      <w:pPr>
        <w:pStyle w:val="TdocProposalText"/>
      </w:pPr>
      <w:r>
        <w:t>UE</w:t>
      </w:r>
      <w:r w:rsidR="006F1E9E">
        <w:t xml:space="preserve">-group WUS sequence generation in Rel-16 is based on </w:t>
      </w:r>
      <w:r w:rsidR="006F1E9E" w:rsidRPr="00FD7E66">
        <w:rPr>
          <w:position w:val="-14"/>
        </w:rPr>
        <w:object w:dxaOrig="499" w:dyaOrig="400" w14:anchorId="502A4D76">
          <v:shape id="_x0000_i1041" type="#_x0000_t75" style="width:25pt;height:20.5pt" o:ole="">
            <v:imagedata r:id="rId16" o:title=""/>
          </v:shape>
          <o:OLEObject Type="Embed" ProgID="Equation.DSMT4" ShapeID="_x0000_i1041" DrawAspect="Content" ObjectID="_1602704770" r:id="rId40"/>
        </w:object>
      </w:r>
      <w:r w:rsidR="006F1E9E">
        <w:t xml:space="preserve"> times longer RE-level scrambling Gold sequence, where </w:t>
      </w:r>
      <w:r w:rsidR="006F1E9E" w:rsidRPr="008F379D">
        <w:rPr>
          <w:position w:val="-14"/>
        </w:rPr>
        <w:object w:dxaOrig="499" w:dyaOrig="400" w14:anchorId="2AD7D843">
          <v:shape id="_x0000_i1042" type="#_x0000_t75" style="width:25pt;height:20.5pt" o:ole="">
            <v:imagedata r:id="rId16" o:title=""/>
          </v:shape>
          <o:OLEObject Type="Embed" ProgID="Equation.DSMT4" ShapeID="_x0000_i1042" DrawAspect="Content" ObjectID="_1602704771" r:id="rId41"/>
        </w:object>
      </w:r>
      <w:r w:rsidR="006F1E9E">
        <w:t xml:space="preserve"> is the total number of UE groups (including legacy Rel-15 UEs).</w:t>
      </w:r>
    </w:p>
    <w:p w14:paraId="0E146518" w14:textId="354881F0" w:rsidR="008610ED" w:rsidRDefault="008610ED" w:rsidP="0017253C">
      <w:pPr>
        <w:pStyle w:val="TdocProposalText"/>
      </w:pPr>
      <w:r>
        <w:t>The initialization value for the long Gold scrambling sequence is reused from Rel-15.</w:t>
      </w:r>
    </w:p>
    <w:p w14:paraId="39AD9753" w14:textId="78FA212E" w:rsidR="008610ED" w:rsidRPr="001C3A5F" w:rsidRDefault="005A0057" w:rsidP="0017253C">
      <w:pPr>
        <w:pStyle w:val="TdocProposalText"/>
      </w:pPr>
      <w:r>
        <w:t xml:space="preserve">The UE-group WUS sequence is a shorter subsequence from the long Gold scrambling sequence defined by the UE group </w:t>
      </w:r>
      <w:proofErr w:type="gramStart"/>
      <w:r>
        <w:t xml:space="preserve">index </w:t>
      </w:r>
      <w:proofErr w:type="gramEnd"/>
      <w:r w:rsidRPr="00FD7E66">
        <w:rPr>
          <w:position w:val="-6"/>
        </w:rPr>
        <w:object w:dxaOrig="180" w:dyaOrig="220" w14:anchorId="5EACBEC8">
          <v:shape id="_x0000_i1043" type="#_x0000_t75" style="width:9pt;height:11.5pt" o:ole="">
            <v:imagedata r:id="rId28" o:title=""/>
          </v:shape>
          <o:OLEObject Type="Embed" ProgID="Equation.DSMT4" ShapeID="_x0000_i1043" DrawAspect="Content" ObjectID="_1602704772" r:id="rId42"/>
        </w:object>
      </w:r>
      <w:r>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3C1077D9" w14:textId="77777777" w:rsidR="00E0725A" w:rsidRDefault="00E0725A" w:rsidP="00366D26"/>
    <w:p w14:paraId="4B820C0C" w14:textId="77777777" w:rsidR="00854600" w:rsidRDefault="00854600" w:rsidP="00854600">
      <w:pPr>
        <w:pStyle w:val="TdocProposal"/>
      </w:pPr>
      <w:r>
        <w:t>Proposal 1</w:t>
      </w:r>
      <w:r w:rsidRPr="00A57355">
        <w:t>:</w:t>
      </w:r>
    </w:p>
    <w:p w14:paraId="57150D96" w14:textId="77777777" w:rsidR="00854600" w:rsidRPr="00222C2A" w:rsidRDefault="00854600" w:rsidP="00854600">
      <w:pPr>
        <w:pStyle w:val="TdocProposalText"/>
      </w:pPr>
      <w:r>
        <w:t>The actual number of UE groups in a cell is configured via SI.</w:t>
      </w:r>
    </w:p>
    <w:p w14:paraId="5DB71C8A" w14:textId="77777777" w:rsidR="00854600" w:rsidRDefault="00854600" w:rsidP="00854600">
      <w:pPr>
        <w:pStyle w:val="TdocProposalText"/>
      </w:pPr>
      <w:r w:rsidRPr="00E42140">
        <w:t>A common WUS indication for all UE groups is supported</w:t>
      </w:r>
      <w:r>
        <w:t xml:space="preserve"> in Rel-16</w:t>
      </w:r>
      <w:r w:rsidRPr="00E42140">
        <w:t>.</w:t>
      </w:r>
    </w:p>
    <w:p w14:paraId="54CECD4C" w14:textId="77777777" w:rsidR="00854600" w:rsidRPr="00E42140" w:rsidRDefault="00854600" w:rsidP="00854600">
      <w:pPr>
        <w:pStyle w:val="TdocProposalText"/>
      </w:pPr>
      <w:r w:rsidRPr="00E42140">
        <w:t xml:space="preserve">Max number of UE groups is </w:t>
      </w:r>
      <w:r>
        <w:t>4</w:t>
      </w:r>
      <w:r w:rsidRPr="00E42140">
        <w:t>.</w:t>
      </w:r>
    </w:p>
    <w:p w14:paraId="08692848" w14:textId="77777777" w:rsidR="00E608EB" w:rsidRPr="006A10E4" w:rsidRDefault="00E608EB" w:rsidP="00366D26"/>
    <w:p w14:paraId="3A2897E7" w14:textId="77777777" w:rsidR="00854600" w:rsidRPr="00A57355" w:rsidRDefault="00854600" w:rsidP="00854600">
      <w:pPr>
        <w:pStyle w:val="TdocProposal"/>
      </w:pPr>
      <w:r>
        <w:t>Proposal 2</w:t>
      </w:r>
      <w:r w:rsidRPr="00A57355">
        <w:t>:</w:t>
      </w:r>
    </w:p>
    <w:p w14:paraId="55AD4DC7" w14:textId="77777777" w:rsidR="00524994" w:rsidRDefault="001D6016" w:rsidP="00854600">
      <w:pPr>
        <w:pStyle w:val="TdocProposalText"/>
      </w:pPr>
      <w:r>
        <w:t>T</w:t>
      </w:r>
      <w:r w:rsidRPr="00E42140">
        <w:t xml:space="preserve">DM </w:t>
      </w:r>
      <w:r>
        <w:t xml:space="preserve">is used </w:t>
      </w:r>
      <w:r w:rsidRPr="00E42140">
        <w:t xml:space="preserve">to </w:t>
      </w:r>
      <w:r>
        <w:t>multiplex Rel-16 WUS and the legacy Rel-15 WUS transmissions.</w:t>
      </w:r>
    </w:p>
    <w:p w14:paraId="4FA2A2B6" w14:textId="748D9C10" w:rsidR="00854600" w:rsidRDefault="00854600" w:rsidP="00854600">
      <w:pPr>
        <w:pStyle w:val="TdocProposalText"/>
      </w:pPr>
      <w:bookmarkStart w:id="9" w:name="_GoBack"/>
      <w:bookmarkEnd w:id="9"/>
      <w:r w:rsidRPr="00E42140">
        <w:t xml:space="preserve">Support </w:t>
      </w:r>
      <w:r>
        <w:t>single sequence C</w:t>
      </w:r>
      <w:r w:rsidRPr="00E42140">
        <w:t xml:space="preserve">DM to </w:t>
      </w:r>
      <w:r>
        <w:t>multiplex Rel-16 WUS transmissions</w:t>
      </w:r>
      <w:r w:rsidRPr="00E42140" w:rsidDel="000F25FA">
        <w:t xml:space="preserve"> </w:t>
      </w:r>
    </w:p>
    <w:p w14:paraId="2B7AD94F" w14:textId="77777777" w:rsidR="00073570" w:rsidRDefault="00073570" w:rsidP="00366D26"/>
    <w:p w14:paraId="0095FD1B" w14:textId="77777777" w:rsidR="00854600" w:rsidRDefault="00854600" w:rsidP="00854600">
      <w:pPr>
        <w:pStyle w:val="TdocProposal"/>
      </w:pPr>
      <w:r>
        <w:lastRenderedPageBreak/>
        <w:t>Proposal 3:</w:t>
      </w:r>
    </w:p>
    <w:p w14:paraId="151B993A" w14:textId="77777777" w:rsidR="00854600" w:rsidRDefault="00854600" w:rsidP="00854600">
      <w:pPr>
        <w:pStyle w:val="TdocProposalText"/>
      </w:pPr>
      <w:r>
        <w:t xml:space="preserve">UE-group WUS sequence generation in Rel-16 is based on </w:t>
      </w:r>
      <w:r w:rsidRPr="00FD7E66">
        <w:rPr>
          <w:position w:val="-14"/>
        </w:rPr>
        <w:object w:dxaOrig="499" w:dyaOrig="400" w14:anchorId="66714800">
          <v:shape id="_x0000_i1044" type="#_x0000_t75" style="width:25pt;height:20.5pt" o:ole="">
            <v:imagedata r:id="rId16" o:title=""/>
          </v:shape>
          <o:OLEObject Type="Embed" ProgID="Equation.DSMT4" ShapeID="_x0000_i1044" DrawAspect="Content" ObjectID="_1602704773" r:id="rId43"/>
        </w:object>
      </w:r>
      <w:r>
        <w:t xml:space="preserve"> times longer RE-level scrambling Gold sequence, where </w:t>
      </w:r>
      <w:r w:rsidRPr="008F379D">
        <w:rPr>
          <w:position w:val="-14"/>
        </w:rPr>
        <w:object w:dxaOrig="499" w:dyaOrig="400" w14:anchorId="22E4182B">
          <v:shape id="_x0000_i1045" type="#_x0000_t75" style="width:25pt;height:20.5pt" o:ole="">
            <v:imagedata r:id="rId16" o:title=""/>
          </v:shape>
          <o:OLEObject Type="Embed" ProgID="Equation.DSMT4" ShapeID="_x0000_i1045" DrawAspect="Content" ObjectID="_1602704774" r:id="rId44"/>
        </w:object>
      </w:r>
      <w:r>
        <w:t xml:space="preserve"> is the total number of UE groups (including legacy Rel-15 UEs).</w:t>
      </w:r>
    </w:p>
    <w:p w14:paraId="5ED2042F" w14:textId="77777777" w:rsidR="00854600" w:rsidRDefault="00854600" w:rsidP="00854600">
      <w:pPr>
        <w:pStyle w:val="TdocProposalText"/>
      </w:pPr>
      <w:r>
        <w:t>The initialization value for the long Gold scrambling sequence is reused from Rel-15.</w:t>
      </w:r>
    </w:p>
    <w:p w14:paraId="39F77AAB" w14:textId="77777777" w:rsidR="00854600" w:rsidRPr="001C3A5F" w:rsidRDefault="00854600" w:rsidP="00854600">
      <w:pPr>
        <w:pStyle w:val="TdocProposalText"/>
      </w:pPr>
      <w:r>
        <w:t xml:space="preserve">The UE-group WUS sequence is a shorter subsequence from the long Gold scrambling sequence defined by the UE group </w:t>
      </w:r>
      <w:proofErr w:type="gramStart"/>
      <w:r>
        <w:t xml:space="preserve">index </w:t>
      </w:r>
      <w:proofErr w:type="gramEnd"/>
      <w:r w:rsidRPr="00FD7E66">
        <w:rPr>
          <w:position w:val="-6"/>
        </w:rPr>
        <w:object w:dxaOrig="180" w:dyaOrig="220" w14:anchorId="2380003E">
          <v:shape id="_x0000_i1046" type="#_x0000_t75" style="width:9pt;height:11.5pt" o:ole="">
            <v:imagedata r:id="rId28" o:title=""/>
          </v:shape>
          <o:OLEObject Type="Embed" ProgID="Equation.DSMT4" ShapeID="_x0000_i1046" DrawAspect="Content" ObjectID="_1602704775" r:id="rId45"/>
        </w:object>
      </w:r>
      <w:r>
        <w:t>.</w:t>
      </w:r>
    </w:p>
    <w:p w14:paraId="537F621D" w14:textId="77777777" w:rsidR="00C67851" w:rsidRDefault="00C67851"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0" w:name="_Ref513808269"/>
      <w:r w:rsidRPr="00BF183C">
        <w:t>RP-181450, “Rel-16 MTC enhancements for LTE”, Ericsson, 3GPP TSG RAN meeting #80, La Jolla, USA, June 2018</w:t>
      </w:r>
      <w:r w:rsidR="00700053" w:rsidRPr="00BF183C">
        <w:t>.</w:t>
      </w:r>
      <w:bookmarkEnd w:id="10"/>
    </w:p>
    <w:p w14:paraId="16B06919" w14:textId="042BE66C" w:rsidR="006178BC" w:rsidRDefault="006178BC" w:rsidP="00BF183C">
      <w:pPr>
        <w:pStyle w:val="TdocReference"/>
      </w:pPr>
      <w:bookmarkStart w:id="11" w:name="_Ref525477075"/>
      <w:r w:rsidRPr="00BF183C">
        <w:t>RAN1 Chairman’s Notes. 3GPP TSG RAN WG1 Meeting #94</w:t>
      </w:r>
      <w:r w:rsidR="00644BDC">
        <w:t>bis</w:t>
      </w:r>
      <w:r w:rsidRPr="00BF183C">
        <w:t xml:space="preserve">, </w:t>
      </w:r>
      <w:r w:rsidR="00644BDC">
        <w:t>Chengdu</w:t>
      </w:r>
      <w:r w:rsidRPr="00BF183C">
        <w:t xml:space="preserve">, </w:t>
      </w:r>
      <w:r w:rsidR="00644BDC">
        <w:t>China</w:t>
      </w:r>
      <w:r w:rsidRPr="00BF183C">
        <w:t xml:space="preserve">, </w:t>
      </w:r>
      <w:r w:rsidR="00644BDC">
        <w:t>October</w:t>
      </w:r>
      <w:r w:rsidR="00644BDC" w:rsidRPr="00BF183C">
        <w:t xml:space="preserve"> </w:t>
      </w:r>
      <w:r w:rsidR="00644BDC">
        <w:t>8</w:t>
      </w:r>
      <w:r w:rsidRPr="00BF183C">
        <w:t>th-</w:t>
      </w:r>
      <w:r w:rsidR="00644BDC">
        <w:t>12</w:t>
      </w:r>
      <w:r w:rsidRPr="00BF183C">
        <w:t>th, 2018.</w:t>
      </w:r>
      <w:bookmarkEnd w:id="11"/>
    </w:p>
    <w:p w14:paraId="544264C5" w14:textId="7B1D6F26" w:rsidR="00B35BBB" w:rsidRDefault="00B35BBB" w:rsidP="00892E75">
      <w:pPr>
        <w:pStyle w:val="TdocReference"/>
      </w:pPr>
      <w:bookmarkStart w:id="12" w:name="_Ref525574487"/>
      <w:r>
        <w:t>R1-</w:t>
      </w:r>
      <w:r w:rsidR="00892E75" w:rsidRPr="00892E75">
        <w:t>1812454</w:t>
      </w:r>
      <w:r w:rsidR="00892E75" w:rsidRPr="00892E75" w:rsidDel="00892E75">
        <w:t xml:space="preserve"> </w:t>
      </w:r>
      <w:r>
        <w:t>, “</w:t>
      </w:r>
      <w:r w:rsidR="007A089E" w:rsidRPr="007A089E">
        <w:t>UE-group wake-up signal for eMTC</w:t>
      </w:r>
      <w:r>
        <w:t xml:space="preserve">”, Intel, </w:t>
      </w:r>
      <w:r w:rsidRPr="00BF183C">
        <w:t>3GPP TSG RAN WG1 Meeting #</w:t>
      </w:r>
      <w:r w:rsidR="00892E75" w:rsidRPr="00BF183C">
        <w:t>9</w:t>
      </w:r>
      <w:r w:rsidR="00892E75">
        <w:t>5</w:t>
      </w:r>
      <w:r w:rsidRPr="00BF183C">
        <w:t xml:space="preserve">, </w:t>
      </w:r>
      <w:r w:rsidR="0091525A">
        <w:t>Spokane</w:t>
      </w:r>
      <w:r w:rsidRPr="00BF183C">
        <w:t xml:space="preserve">, </w:t>
      </w:r>
      <w:r w:rsidR="0091525A">
        <w:t>USA</w:t>
      </w:r>
      <w:r w:rsidRPr="00BF183C">
        <w:t xml:space="preserve">, </w:t>
      </w:r>
      <w:r w:rsidR="0091525A">
        <w:t>N</w:t>
      </w:r>
      <w:r w:rsidR="007A089E">
        <w:t>o</w:t>
      </w:r>
      <w:r w:rsidR="0091525A">
        <w:t>vem</w:t>
      </w:r>
      <w:r w:rsidR="007A089E">
        <w:t>ber</w:t>
      </w:r>
      <w:r w:rsidRPr="00BF183C">
        <w:t xml:space="preserve"> </w:t>
      </w:r>
      <w:r w:rsidR="0091525A">
        <w:t>12</w:t>
      </w:r>
      <w:r w:rsidR="0091525A" w:rsidRPr="00411133">
        <w:rPr>
          <w:vertAlign w:val="superscript"/>
        </w:rPr>
        <w:t>th</w:t>
      </w:r>
      <w:r w:rsidR="00DA6F20">
        <w:t>—</w:t>
      </w:r>
      <w:r w:rsidR="0091525A">
        <w:t>16</w:t>
      </w:r>
      <w:r w:rsidR="0091525A" w:rsidRPr="00411133">
        <w:rPr>
          <w:vertAlign w:val="superscript"/>
        </w:rPr>
        <w:t>th</w:t>
      </w:r>
      <w:r w:rsidRPr="00BF183C">
        <w:t>, 2018</w:t>
      </w:r>
      <w:bookmarkEnd w:id="12"/>
    </w:p>
    <w:p w14:paraId="4B71526B" w14:textId="008572CA" w:rsidR="00360253" w:rsidRPr="00BF183C" w:rsidRDefault="00360253" w:rsidP="00360253">
      <w:pPr>
        <w:pStyle w:val="TdocReference"/>
      </w:pPr>
      <w:bookmarkStart w:id="13"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13"/>
    </w:p>
    <w:p w14:paraId="4DBBAB6F" w14:textId="77777777" w:rsidR="00700053" w:rsidRPr="00700053" w:rsidRDefault="00700053" w:rsidP="00700053">
      <w:pPr>
        <w:rPr>
          <w:i/>
        </w:rPr>
      </w:pPr>
    </w:p>
    <w:sectPr w:rsidR="00700053" w:rsidRPr="00700053" w:rsidSect="00D86B37">
      <w:headerReference w:type="even" r:id="rId46"/>
      <w:footerReference w:type="even" r:id="rId47"/>
      <w:footerReference w:type="default" r:id="rId4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5A6D0" w14:textId="77777777" w:rsidR="001B639B" w:rsidRDefault="001B639B">
      <w:r>
        <w:separator/>
      </w:r>
    </w:p>
  </w:endnote>
  <w:endnote w:type="continuationSeparator" w:id="0">
    <w:p w14:paraId="58972805" w14:textId="77777777" w:rsidR="001B639B" w:rsidRDefault="001B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499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99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75A4" w14:textId="77777777" w:rsidR="001B639B" w:rsidRDefault="001B639B">
      <w:r>
        <w:separator/>
      </w:r>
    </w:p>
  </w:footnote>
  <w:footnote w:type="continuationSeparator" w:id="0">
    <w:p w14:paraId="0BD73E1D" w14:textId="77777777" w:rsidR="001B639B" w:rsidRDefault="001B6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0"/>
  </w:num>
  <w:num w:numId="5">
    <w:abstractNumId w:val="5"/>
  </w:num>
  <w:num w:numId="6">
    <w:abstractNumId w:val="1"/>
  </w:num>
  <w:num w:numId="7">
    <w:abstractNumId w:val="9"/>
  </w:num>
  <w:num w:numId="8">
    <w:abstractNumId w:val="8"/>
  </w:num>
  <w:num w:numId="9">
    <w:abstractNumId w:val="6"/>
  </w:num>
  <w:num w:numId="10">
    <w:abstractNumId w:val="11"/>
  </w:num>
  <w:num w:numId="11">
    <w:abstractNumId w:val="7"/>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133"/>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F72"/>
    <w:rsid w:val="005B032F"/>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334"/>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528"/>
    <w:rsid w:val="00AB57AD"/>
    <w:rsid w:val="00AB583A"/>
    <w:rsid w:val="00AB5F9A"/>
    <w:rsid w:val="00AB642C"/>
    <w:rsid w:val="00AB675F"/>
    <w:rsid w:val="00AB7134"/>
    <w:rsid w:val="00AB76D5"/>
    <w:rsid w:val="00AB7787"/>
    <w:rsid w:val="00AB78AC"/>
    <w:rsid w:val="00AC0816"/>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37A"/>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045"/>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0E6A"/>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6E2"/>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16"/>
    <w:rsid w:val="00E756FB"/>
    <w:rsid w:val="00E75C0F"/>
    <w:rsid w:val="00E75F9B"/>
    <w:rsid w:val="00E76141"/>
    <w:rsid w:val="00E76270"/>
    <w:rsid w:val="00E76316"/>
    <w:rsid w:val="00E76ED7"/>
    <w:rsid w:val="00E77040"/>
    <w:rsid w:val="00E770E1"/>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package" Target="embeddings/Microsoft_Visio_Drawing2.vsdx"/><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0A35"/>
    <w:rsid w:val="002F5FAA"/>
    <w:rsid w:val="002F657B"/>
    <w:rsid w:val="00321E54"/>
    <w:rsid w:val="00337705"/>
    <w:rsid w:val="0037553D"/>
    <w:rsid w:val="003900AA"/>
    <w:rsid w:val="003C59B3"/>
    <w:rsid w:val="003E4262"/>
    <w:rsid w:val="003F2210"/>
    <w:rsid w:val="003F66E1"/>
    <w:rsid w:val="00407E31"/>
    <w:rsid w:val="00476617"/>
    <w:rsid w:val="0048152C"/>
    <w:rsid w:val="0048598D"/>
    <w:rsid w:val="004977CB"/>
    <w:rsid w:val="004B7469"/>
    <w:rsid w:val="004F291A"/>
    <w:rsid w:val="00570372"/>
    <w:rsid w:val="005753F5"/>
    <w:rsid w:val="005A26C6"/>
    <w:rsid w:val="005A450D"/>
    <w:rsid w:val="005B4ABE"/>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9F1421"/>
    <w:rsid w:val="00A06413"/>
    <w:rsid w:val="00A36DF4"/>
    <w:rsid w:val="00A51F59"/>
    <w:rsid w:val="00AF095E"/>
    <w:rsid w:val="00B37061"/>
    <w:rsid w:val="00B51BF0"/>
    <w:rsid w:val="00B551EC"/>
    <w:rsid w:val="00B7228A"/>
    <w:rsid w:val="00BC1075"/>
    <w:rsid w:val="00BF1A13"/>
    <w:rsid w:val="00BF62C2"/>
    <w:rsid w:val="00C26E16"/>
    <w:rsid w:val="00CA564B"/>
    <w:rsid w:val="00D5690D"/>
    <w:rsid w:val="00DA6126"/>
    <w:rsid w:val="00DE6291"/>
    <w:rsid w:val="00E01672"/>
    <w:rsid w:val="00E56570"/>
    <w:rsid w:val="00E61BA5"/>
    <w:rsid w:val="00E6725E"/>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CE173715-99DC-4681-A96C-DA95BCC7FEBE}">
  <ds:schemaRefs>
    <ds:schemaRef ds:uri="http://schemas.openxmlformats.org/officeDocument/2006/bibliography"/>
  </ds:schemaRefs>
</ds:datastoreItem>
</file>

<file path=customXml/itemProps5.xml><?xml version="1.0" encoding="utf-8"?>
<ds:datastoreItem xmlns:ds="http://schemas.openxmlformats.org/officeDocument/2006/customXml" ds:itemID="{C1A46D02-7CFA-4EEB-A6CA-84F37473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8230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R1-1812460</dc:subject>
  <dc:creator>Morozov, Gregory</dc:creator>
  <cp:keywords>CTPClassification=CTP_PUBLIC:VisualMarkings=, CTPClassification=CTP_NT</cp:keywords>
  <dc:description>Spokane, USA, November 12th – 16th, 2018</dc:description>
  <cp:lastModifiedBy>Chatterjee, Debdeep</cp:lastModifiedBy>
  <cp:revision>3</cp:revision>
  <cp:lastPrinted>2011-11-09T22:49:00Z</cp:lastPrinted>
  <dcterms:created xsi:type="dcterms:W3CDTF">2018-11-03T05:51:00Z</dcterms:created>
  <dcterms:modified xsi:type="dcterms:W3CDTF">2018-11-03T05:51:00Z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2018-11-02 21:40:56Z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